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B3" w:rsidRPr="00D567E1" w:rsidRDefault="00F766B3">
      <w:pPr>
        <w:rPr>
          <w:b/>
          <w:color w:val="365F91" w:themeColor="accent1" w:themeShade="BF"/>
        </w:rPr>
      </w:pPr>
      <w:r w:rsidRPr="00D567E1">
        <w:rPr>
          <w:b/>
          <w:color w:val="365F91" w:themeColor="accent1" w:themeShade="BF"/>
        </w:rPr>
        <w:t xml:space="preserve">Pupil Premium Strategy Statement </w:t>
      </w:r>
    </w:p>
    <w:tbl>
      <w:tblPr>
        <w:tblStyle w:val="TableGrid"/>
        <w:tblW w:w="0" w:type="auto"/>
        <w:tblLook w:val="04A0" w:firstRow="1" w:lastRow="0" w:firstColumn="1" w:lastColumn="0" w:noHBand="0" w:noVBand="1"/>
      </w:tblPr>
      <w:tblGrid>
        <w:gridCol w:w="2569"/>
        <w:gridCol w:w="1876"/>
        <w:gridCol w:w="3255"/>
        <w:gridCol w:w="2554"/>
        <w:gridCol w:w="3119"/>
        <w:gridCol w:w="2015"/>
      </w:tblGrid>
      <w:tr w:rsidR="00F766B3" w:rsidTr="0026696E">
        <w:tc>
          <w:tcPr>
            <w:tcW w:w="15614" w:type="dxa"/>
            <w:gridSpan w:val="6"/>
            <w:shd w:val="clear" w:color="auto" w:fill="C6D9F1" w:themeFill="text2" w:themeFillTint="33"/>
          </w:tcPr>
          <w:p w:rsidR="00F766B3" w:rsidRPr="00D567E1" w:rsidRDefault="00F766B3" w:rsidP="00F766B3">
            <w:pPr>
              <w:pStyle w:val="ListParagraph"/>
              <w:numPr>
                <w:ilvl w:val="0"/>
                <w:numId w:val="1"/>
              </w:numPr>
              <w:rPr>
                <w:b/>
              </w:rPr>
            </w:pPr>
            <w:r w:rsidRPr="00D567E1">
              <w:rPr>
                <w:b/>
              </w:rPr>
              <w:t>Summary Information</w:t>
            </w:r>
          </w:p>
        </w:tc>
      </w:tr>
      <w:tr w:rsidR="00F766B3" w:rsidTr="00F766B3">
        <w:tc>
          <w:tcPr>
            <w:tcW w:w="15614" w:type="dxa"/>
            <w:gridSpan w:val="6"/>
          </w:tcPr>
          <w:p w:rsidR="00F766B3" w:rsidRDefault="00F766B3">
            <w:r w:rsidRPr="009F0F8F">
              <w:rPr>
                <w:b/>
              </w:rPr>
              <w:t>School</w:t>
            </w:r>
            <w:r>
              <w:t>: Woodside Special School</w:t>
            </w:r>
          </w:p>
        </w:tc>
      </w:tr>
      <w:tr w:rsidR="00F766B3" w:rsidTr="00B244F3">
        <w:tc>
          <w:tcPr>
            <w:tcW w:w="2602" w:type="dxa"/>
          </w:tcPr>
          <w:p w:rsidR="00F766B3" w:rsidRPr="00F766B3" w:rsidRDefault="00F766B3">
            <w:pPr>
              <w:rPr>
                <w:sz w:val="20"/>
                <w:szCs w:val="20"/>
              </w:rPr>
            </w:pPr>
            <w:r w:rsidRPr="00F766B3">
              <w:rPr>
                <w:sz w:val="20"/>
                <w:szCs w:val="20"/>
              </w:rPr>
              <w:t>Academic Year</w:t>
            </w:r>
          </w:p>
        </w:tc>
        <w:tc>
          <w:tcPr>
            <w:tcW w:w="1901" w:type="dxa"/>
          </w:tcPr>
          <w:p w:rsidR="00F766B3" w:rsidRPr="00F766B3" w:rsidRDefault="00036C54">
            <w:pPr>
              <w:rPr>
                <w:sz w:val="20"/>
                <w:szCs w:val="20"/>
              </w:rPr>
            </w:pPr>
            <w:r>
              <w:rPr>
                <w:sz w:val="20"/>
                <w:szCs w:val="20"/>
              </w:rPr>
              <w:t>2019-202</w:t>
            </w:r>
            <w:r w:rsidR="00DE7E03">
              <w:rPr>
                <w:sz w:val="20"/>
                <w:szCs w:val="20"/>
              </w:rPr>
              <w:t>0</w:t>
            </w:r>
          </w:p>
        </w:tc>
        <w:tc>
          <w:tcPr>
            <w:tcW w:w="3304" w:type="dxa"/>
          </w:tcPr>
          <w:p w:rsidR="00F766B3" w:rsidRPr="00F766B3" w:rsidRDefault="00F766B3">
            <w:pPr>
              <w:rPr>
                <w:sz w:val="20"/>
                <w:szCs w:val="20"/>
              </w:rPr>
            </w:pPr>
            <w:r w:rsidRPr="00F766B3">
              <w:rPr>
                <w:sz w:val="20"/>
                <w:szCs w:val="20"/>
              </w:rPr>
              <w:t>Total PP budget</w:t>
            </w:r>
          </w:p>
        </w:tc>
        <w:tc>
          <w:tcPr>
            <w:tcW w:w="2602" w:type="dxa"/>
            <w:shd w:val="clear" w:color="auto" w:fill="FFFF00"/>
          </w:tcPr>
          <w:p w:rsidR="00F766B3" w:rsidRPr="00F766B3" w:rsidRDefault="00F766B3">
            <w:pPr>
              <w:rPr>
                <w:sz w:val="20"/>
                <w:szCs w:val="20"/>
              </w:rPr>
            </w:pPr>
          </w:p>
        </w:tc>
        <w:tc>
          <w:tcPr>
            <w:tcW w:w="3166" w:type="dxa"/>
          </w:tcPr>
          <w:p w:rsidR="00F766B3" w:rsidRPr="00F766B3" w:rsidRDefault="00F766B3">
            <w:pPr>
              <w:rPr>
                <w:sz w:val="20"/>
                <w:szCs w:val="20"/>
              </w:rPr>
            </w:pPr>
            <w:r w:rsidRPr="00F766B3">
              <w:rPr>
                <w:sz w:val="20"/>
                <w:szCs w:val="20"/>
              </w:rPr>
              <w:t>Date of most recent PP Review</w:t>
            </w:r>
          </w:p>
        </w:tc>
        <w:tc>
          <w:tcPr>
            <w:tcW w:w="2039" w:type="dxa"/>
          </w:tcPr>
          <w:p w:rsidR="00F766B3" w:rsidRPr="00F766B3" w:rsidRDefault="00036C54" w:rsidP="007719A8">
            <w:pPr>
              <w:rPr>
                <w:sz w:val="20"/>
                <w:szCs w:val="20"/>
              </w:rPr>
            </w:pPr>
            <w:r>
              <w:rPr>
                <w:sz w:val="20"/>
                <w:szCs w:val="20"/>
              </w:rPr>
              <w:t>October 2019</w:t>
            </w:r>
          </w:p>
        </w:tc>
      </w:tr>
      <w:tr w:rsidR="00F766B3" w:rsidTr="00B244F3">
        <w:tc>
          <w:tcPr>
            <w:tcW w:w="2602" w:type="dxa"/>
          </w:tcPr>
          <w:p w:rsidR="00F766B3" w:rsidRPr="00F766B3" w:rsidRDefault="00F766B3">
            <w:pPr>
              <w:rPr>
                <w:sz w:val="20"/>
                <w:szCs w:val="20"/>
              </w:rPr>
            </w:pPr>
            <w:r w:rsidRPr="00F766B3">
              <w:rPr>
                <w:sz w:val="20"/>
                <w:szCs w:val="20"/>
              </w:rPr>
              <w:t>Total number of pupils</w:t>
            </w:r>
          </w:p>
        </w:tc>
        <w:tc>
          <w:tcPr>
            <w:tcW w:w="1901" w:type="dxa"/>
          </w:tcPr>
          <w:p w:rsidR="00F766B3" w:rsidRPr="00F766B3" w:rsidRDefault="00036C54">
            <w:pPr>
              <w:rPr>
                <w:sz w:val="20"/>
                <w:szCs w:val="20"/>
              </w:rPr>
            </w:pPr>
            <w:r>
              <w:rPr>
                <w:sz w:val="20"/>
                <w:szCs w:val="20"/>
              </w:rPr>
              <w:t>158</w:t>
            </w:r>
          </w:p>
        </w:tc>
        <w:tc>
          <w:tcPr>
            <w:tcW w:w="3304" w:type="dxa"/>
          </w:tcPr>
          <w:p w:rsidR="00F766B3" w:rsidRPr="00F766B3" w:rsidRDefault="00DE7E03">
            <w:pPr>
              <w:rPr>
                <w:sz w:val="20"/>
                <w:szCs w:val="20"/>
              </w:rPr>
            </w:pPr>
            <w:r>
              <w:rPr>
                <w:sz w:val="20"/>
                <w:szCs w:val="20"/>
              </w:rPr>
              <w:t>£72,215</w:t>
            </w:r>
          </w:p>
        </w:tc>
        <w:tc>
          <w:tcPr>
            <w:tcW w:w="2602" w:type="dxa"/>
            <w:shd w:val="clear" w:color="auto" w:fill="FFFF00"/>
          </w:tcPr>
          <w:p w:rsidR="00F766B3" w:rsidRPr="00F766B3" w:rsidRDefault="00F766B3">
            <w:pPr>
              <w:rPr>
                <w:sz w:val="20"/>
                <w:szCs w:val="20"/>
              </w:rPr>
            </w:pPr>
          </w:p>
        </w:tc>
        <w:tc>
          <w:tcPr>
            <w:tcW w:w="3166" w:type="dxa"/>
          </w:tcPr>
          <w:p w:rsidR="00F766B3" w:rsidRPr="00F766B3" w:rsidRDefault="00F766B3">
            <w:pPr>
              <w:rPr>
                <w:sz w:val="20"/>
                <w:szCs w:val="20"/>
              </w:rPr>
            </w:pPr>
            <w:r w:rsidRPr="00F766B3">
              <w:rPr>
                <w:sz w:val="20"/>
                <w:szCs w:val="20"/>
              </w:rPr>
              <w:t>Date of next internal review</w:t>
            </w:r>
          </w:p>
        </w:tc>
        <w:tc>
          <w:tcPr>
            <w:tcW w:w="2039" w:type="dxa"/>
          </w:tcPr>
          <w:p w:rsidR="00F766B3" w:rsidRPr="00F766B3" w:rsidRDefault="00036C54">
            <w:pPr>
              <w:rPr>
                <w:sz w:val="20"/>
                <w:szCs w:val="20"/>
              </w:rPr>
            </w:pPr>
            <w:r>
              <w:rPr>
                <w:sz w:val="20"/>
                <w:szCs w:val="20"/>
              </w:rPr>
              <w:t>July 2020</w:t>
            </w:r>
          </w:p>
        </w:tc>
      </w:tr>
    </w:tbl>
    <w:p w:rsidR="00DA79DA" w:rsidRPr="00E86AAE" w:rsidRDefault="00DA79DA" w:rsidP="00E86AAE">
      <w:pPr>
        <w:spacing w:after="0"/>
        <w:jc w:val="center"/>
        <w:rPr>
          <w:b/>
        </w:rPr>
      </w:pPr>
    </w:p>
    <w:p w:rsidR="00F766B3" w:rsidRDefault="00F766B3" w:rsidP="00E86AAE">
      <w:pPr>
        <w:spacing w:after="0"/>
        <w:jc w:val="center"/>
      </w:pPr>
    </w:p>
    <w:tbl>
      <w:tblPr>
        <w:tblStyle w:val="TableGrid"/>
        <w:tblW w:w="0" w:type="auto"/>
        <w:tblLook w:val="04A0" w:firstRow="1" w:lastRow="0" w:firstColumn="1" w:lastColumn="0" w:noHBand="0" w:noVBand="1"/>
      </w:tblPr>
      <w:tblGrid>
        <w:gridCol w:w="1474"/>
        <w:gridCol w:w="6658"/>
        <w:gridCol w:w="6661"/>
      </w:tblGrid>
      <w:tr w:rsidR="00B244F3" w:rsidTr="00B244F3">
        <w:trPr>
          <w:trHeight w:val="241"/>
        </w:trPr>
        <w:tc>
          <w:tcPr>
            <w:tcW w:w="14793" w:type="dxa"/>
            <w:gridSpan w:val="3"/>
            <w:shd w:val="clear" w:color="auto" w:fill="C6D9F1" w:themeFill="text2" w:themeFillTint="33"/>
          </w:tcPr>
          <w:p w:rsidR="00B244F3" w:rsidRPr="00D567E1" w:rsidRDefault="00036C54">
            <w:pPr>
              <w:rPr>
                <w:b/>
              </w:rPr>
            </w:pPr>
            <w:r>
              <w:rPr>
                <w:b/>
              </w:rPr>
              <w:t>19-20 In school focus</w:t>
            </w:r>
          </w:p>
        </w:tc>
      </w:tr>
      <w:tr w:rsidR="00B244F3" w:rsidTr="00B244F3">
        <w:trPr>
          <w:trHeight w:val="241"/>
        </w:trPr>
        <w:tc>
          <w:tcPr>
            <w:tcW w:w="1474" w:type="dxa"/>
          </w:tcPr>
          <w:p w:rsidR="00B244F3" w:rsidRPr="009F0F8F" w:rsidRDefault="00B244F3">
            <w:r w:rsidRPr="009F0F8F">
              <w:t>A.</w:t>
            </w:r>
          </w:p>
        </w:tc>
        <w:tc>
          <w:tcPr>
            <w:tcW w:w="13319" w:type="dxa"/>
            <w:gridSpan w:val="2"/>
          </w:tcPr>
          <w:p w:rsidR="00B244F3" w:rsidRPr="00575180" w:rsidRDefault="00036C54" w:rsidP="007719A8">
            <w:pPr>
              <w:rPr>
                <w:sz w:val="20"/>
                <w:szCs w:val="20"/>
              </w:rPr>
            </w:pPr>
            <w:r>
              <w:rPr>
                <w:sz w:val="20"/>
                <w:szCs w:val="20"/>
              </w:rPr>
              <w:t>Personalisation of learning</w:t>
            </w:r>
          </w:p>
        </w:tc>
      </w:tr>
      <w:tr w:rsidR="00036C54" w:rsidTr="00B244F3">
        <w:trPr>
          <w:trHeight w:val="450"/>
        </w:trPr>
        <w:tc>
          <w:tcPr>
            <w:tcW w:w="1474" w:type="dxa"/>
          </w:tcPr>
          <w:p w:rsidR="00036C54" w:rsidRPr="009F0F8F" w:rsidRDefault="00036C54" w:rsidP="00036C54">
            <w:r w:rsidRPr="009F0F8F">
              <w:t>B.</w:t>
            </w:r>
          </w:p>
        </w:tc>
        <w:tc>
          <w:tcPr>
            <w:tcW w:w="13319" w:type="dxa"/>
            <w:gridSpan w:val="2"/>
          </w:tcPr>
          <w:p w:rsidR="00036C54" w:rsidRPr="00575180" w:rsidRDefault="00036C54" w:rsidP="00036C54">
            <w:pPr>
              <w:rPr>
                <w:sz w:val="20"/>
                <w:szCs w:val="20"/>
              </w:rPr>
            </w:pPr>
            <w:r>
              <w:rPr>
                <w:sz w:val="20"/>
                <w:szCs w:val="20"/>
              </w:rPr>
              <w:t>Communication, s</w:t>
            </w:r>
            <w:r w:rsidRPr="00575180">
              <w:rPr>
                <w:sz w:val="20"/>
                <w:szCs w:val="20"/>
              </w:rPr>
              <w:t>ocial</w:t>
            </w:r>
            <w:r>
              <w:rPr>
                <w:sz w:val="20"/>
                <w:szCs w:val="20"/>
              </w:rPr>
              <w:t xml:space="preserve"> and </w:t>
            </w:r>
            <w:r w:rsidRPr="00575180">
              <w:rPr>
                <w:sz w:val="20"/>
                <w:szCs w:val="20"/>
              </w:rPr>
              <w:t xml:space="preserve">emotional </w:t>
            </w:r>
            <w:r>
              <w:rPr>
                <w:sz w:val="20"/>
                <w:szCs w:val="20"/>
              </w:rPr>
              <w:t>needs</w:t>
            </w:r>
            <w:r w:rsidRPr="00575180">
              <w:rPr>
                <w:sz w:val="20"/>
                <w:szCs w:val="20"/>
              </w:rPr>
              <w:t xml:space="preserve"> </w:t>
            </w:r>
            <w:r>
              <w:rPr>
                <w:sz w:val="20"/>
                <w:szCs w:val="20"/>
              </w:rPr>
              <w:t>affecting wellbeing and outcomes</w:t>
            </w:r>
          </w:p>
        </w:tc>
      </w:tr>
      <w:tr w:rsidR="00036C54" w:rsidTr="00B244F3">
        <w:trPr>
          <w:trHeight w:val="241"/>
        </w:trPr>
        <w:tc>
          <w:tcPr>
            <w:tcW w:w="1474" w:type="dxa"/>
          </w:tcPr>
          <w:p w:rsidR="00036C54" w:rsidRPr="009F0F8F" w:rsidRDefault="00036C54" w:rsidP="00036C54">
            <w:r w:rsidRPr="009F0F8F">
              <w:t>C.</w:t>
            </w:r>
          </w:p>
        </w:tc>
        <w:tc>
          <w:tcPr>
            <w:tcW w:w="13319" w:type="dxa"/>
            <w:gridSpan w:val="2"/>
          </w:tcPr>
          <w:p w:rsidR="00036C54" w:rsidRPr="00575180" w:rsidRDefault="00036C54" w:rsidP="00036C54">
            <w:pPr>
              <w:rPr>
                <w:sz w:val="20"/>
                <w:szCs w:val="20"/>
              </w:rPr>
            </w:pPr>
            <w:r>
              <w:rPr>
                <w:sz w:val="20"/>
                <w:szCs w:val="20"/>
              </w:rPr>
              <w:t>Enhance opportunities to learn outside the classroom and in the wider community</w:t>
            </w:r>
          </w:p>
        </w:tc>
      </w:tr>
      <w:tr w:rsidR="00036C54" w:rsidTr="00B244F3">
        <w:trPr>
          <w:trHeight w:val="241"/>
        </w:trPr>
        <w:tc>
          <w:tcPr>
            <w:tcW w:w="1474" w:type="dxa"/>
          </w:tcPr>
          <w:p w:rsidR="00036C54" w:rsidRPr="009F0F8F" w:rsidRDefault="00036C54" w:rsidP="00036C54">
            <w:r w:rsidRPr="009F0F8F">
              <w:t xml:space="preserve">D. </w:t>
            </w:r>
          </w:p>
        </w:tc>
        <w:tc>
          <w:tcPr>
            <w:tcW w:w="13319" w:type="dxa"/>
            <w:gridSpan w:val="2"/>
          </w:tcPr>
          <w:p w:rsidR="00036C54" w:rsidRPr="00575180" w:rsidRDefault="00E22648" w:rsidP="00036C54">
            <w:pPr>
              <w:rPr>
                <w:sz w:val="20"/>
                <w:szCs w:val="20"/>
              </w:rPr>
            </w:pPr>
            <w:r>
              <w:rPr>
                <w:sz w:val="20"/>
                <w:szCs w:val="20"/>
              </w:rPr>
              <w:t>Maintained good attendance, reduction in persistent absenteeism and fixed term exclusions</w:t>
            </w:r>
          </w:p>
        </w:tc>
      </w:tr>
      <w:tr w:rsidR="00036C54" w:rsidTr="00B244F3">
        <w:trPr>
          <w:trHeight w:val="241"/>
        </w:trPr>
        <w:tc>
          <w:tcPr>
            <w:tcW w:w="1474" w:type="dxa"/>
          </w:tcPr>
          <w:p w:rsidR="00036C54" w:rsidRDefault="00036C54" w:rsidP="00036C54"/>
        </w:tc>
        <w:tc>
          <w:tcPr>
            <w:tcW w:w="6658" w:type="dxa"/>
          </w:tcPr>
          <w:p w:rsidR="00036C54" w:rsidRPr="009F0F8F" w:rsidRDefault="00036C54" w:rsidP="00036C54">
            <w:pPr>
              <w:rPr>
                <w:b/>
                <w:i/>
              </w:rPr>
            </w:pPr>
            <w:r>
              <w:rPr>
                <w:b/>
                <w:i/>
              </w:rPr>
              <w:t xml:space="preserve">Proposed </w:t>
            </w:r>
            <w:r w:rsidRPr="009F0F8F">
              <w:rPr>
                <w:b/>
                <w:i/>
              </w:rPr>
              <w:t xml:space="preserve"> outcomes </w:t>
            </w:r>
            <w:r>
              <w:rPr>
                <w:b/>
                <w:i/>
              </w:rPr>
              <w:t>18-19</w:t>
            </w:r>
          </w:p>
        </w:tc>
        <w:tc>
          <w:tcPr>
            <w:tcW w:w="6661" w:type="dxa"/>
          </w:tcPr>
          <w:p w:rsidR="00036C54" w:rsidRPr="009F0F8F" w:rsidRDefault="00036C54" w:rsidP="00066E59">
            <w:pPr>
              <w:rPr>
                <w:b/>
                <w:i/>
              </w:rPr>
            </w:pPr>
            <w:r w:rsidRPr="009F0F8F">
              <w:rPr>
                <w:b/>
                <w:i/>
              </w:rPr>
              <w:t>Success criteria</w:t>
            </w:r>
            <w:r>
              <w:rPr>
                <w:b/>
                <w:i/>
              </w:rPr>
              <w:t xml:space="preserve"> </w:t>
            </w:r>
            <w:r w:rsidR="00066E59">
              <w:rPr>
                <w:b/>
                <w:i/>
              </w:rPr>
              <w:t>19-20</w:t>
            </w:r>
          </w:p>
        </w:tc>
      </w:tr>
      <w:tr w:rsidR="0095697F" w:rsidTr="00B244F3">
        <w:trPr>
          <w:trHeight w:val="1109"/>
        </w:trPr>
        <w:tc>
          <w:tcPr>
            <w:tcW w:w="1474" w:type="dxa"/>
          </w:tcPr>
          <w:p w:rsidR="0095697F" w:rsidRPr="009F0F8F" w:rsidRDefault="0095697F" w:rsidP="0095697F">
            <w:r w:rsidRPr="009F0F8F">
              <w:t>A.</w:t>
            </w:r>
          </w:p>
        </w:tc>
        <w:tc>
          <w:tcPr>
            <w:tcW w:w="6658" w:type="dxa"/>
          </w:tcPr>
          <w:p w:rsidR="0095697F" w:rsidRPr="00575180" w:rsidRDefault="0095697F" w:rsidP="0095697F">
            <w:pPr>
              <w:rPr>
                <w:sz w:val="20"/>
                <w:szCs w:val="20"/>
              </w:rPr>
            </w:pPr>
            <w:r>
              <w:rPr>
                <w:sz w:val="20"/>
                <w:szCs w:val="20"/>
              </w:rPr>
              <w:t>Personalisation of learning</w:t>
            </w:r>
          </w:p>
        </w:tc>
        <w:tc>
          <w:tcPr>
            <w:tcW w:w="6661" w:type="dxa"/>
          </w:tcPr>
          <w:p w:rsidR="0039021E" w:rsidRDefault="0095697F" w:rsidP="0095697F">
            <w:pPr>
              <w:rPr>
                <w:sz w:val="20"/>
                <w:szCs w:val="20"/>
              </w:rPr>
            </w:pPr>
            <w:r>
              <w:rPr>
                <w:sz w:val="20"/>
                <w:szCs w:val="20"/>
              </w:rPr>
              <w:t>Personalised learning plans and effective target setting for individual’s next steps are embedded across the school</w:t>
            </w:r>
            <w:r w:rsidR="00E22648">
              <w:rPr>
                <w:sz w:val="20"/>
                <w:szCs w:val="20"/>
              </w:rPr>
              <w:t xml:space="preserve">. </w:t>
            </w:r>
            <w:r w:rsidR="00066E59">
              <w:rPr>
                <w:sz w:val="20"/>
                <w:szCs w:val="20"/>
              </w:rPr>
              <w:t>Analysis</w:t>
            </w:r>
            <w:r w:rsidR="00E22648">
              <w:rPr>
                <w:sz w:val="20"/>
                <w:szCs w:val="20"/>
              </w:rPr>
              <w:t xml:space="preserve"> of progress toward targets met indicates that all children and young people are making </w:t>
            </w:r>
            <w:r w:rsidR="00066E59">
              <w:rPr>
                <w:sz w:val="20"/>
                <w:szCs w:val="20"/>
              </w:rPr>
              <w:t xml:space="preserve">good </w:t>
            </w:r>
            <w:r w:rsidR="00E22648">
              <w:rPr>
                <w:sz w:val="20"/>
                <w:szCs w:val="20"/>
              </w:rPr>
              <w:t>progress towards long term outcomes as defined in their EHCP</w:t>
            </w:r>
            <w:r w:rsidR="00066E59">
              <w:rPr>
                <w:sz w:val="20"/>
                <w:szCs w:val="20"/>
              </w:rPr>
              <w:t xml:space="preserve"> alongside ambitious academic targets</w:t>
            </w:r>
            <w:r w:rsidR="0039021E">
              <w:rPr>
                <w:sz w:val="20"/>
                <w:szCs w:val="20"/>
              </w:rPr>
              <w:t>.</w:t>
            </w:r>
          </w:p>
          <w:p w:rsidR="0039021E" w:rsidRPr="00575180" w:rsidRDefault="0039021E" w:rsidP="0039021E">
            <w:pPr>
              <w:rPr>
                <w:sz w:val="20"/>
                <w:szCs w:val="20"/>
              </w:rPr>
            </w:pPr>
            <w:r>
              <w:rPr>
                <w:sz w:val="20"/>
                <w:szCs w:val="20"/>
              </w:rPr>
              <w:t xml:space="preserve">Gaps identified in U and A and writing are narrowed through intervention programmes </w:t>
            </w:r>
            <w:r w:rsidR="00066E59">
              <w:rPr>
                <w:sz w:val="20"/>
                <w:szCs w:val="20"/>
              </w:rPr>
              <w:t>coordinated</w:t>
            </w:r>
            <w:r>
              <w:rPr>
                <w:sz w:val="20"/>
                <w:szCs w:val="20"/>
              </w:rPr>
              <w:t xml:space="preserve"> by specialist English and Maths teachers.</w:t>
            </w:r>
          </w:p>
        </w:tc>
      </w:tr>
      <w:tr w:rsidR="0095697F" w:rsidTr="00B244F3">
        <w:trPr>
          <w:trHeight w:val="934"/>
        </w:trPr>
        <w:tc>
          <w:tcPr>
            <w:tcW w:w="1474" w:type="dxa"/>
          </w:tcPr>
          <w:p w:rsidR="0095697F" w:rsidRPr="009F0F8F" w:rsidRDefault="0095697F" w:rsidP="0095697F">
            <w:r w:rsidRPr="009F0F8F">
              <w:t>B.</w:t>
            </w:r>
          </w:p>
        </w:tc>
        <w:tc>
          <w:tcPr>
            <w:tcW w:w="6658" w:type="dxa"/>
          </w:tcPr>
          <w:p w:rsidR="0095697F" w:rsidRPr="00575180" w:rsidRDefault="0095697F" w:rsidP="0095697F">
            <w:pPr>
              <w:rPr>
                <w:sz w:val="20"/>
                <w:szCs w:val="20"/>
              </w:rPr>
            </w:pPr>
            <w:r>
              <w:rPr>
                <w:sz w:val="20"/>
                <w:szCs w:val="20"/>
              </w:rPr>
              <w:t>Communication,</w:t>
            </w:r>
            <w:r w:rsidR="00310A10">
              <w:rPr>
                <w:sz w:val="20"/>
                <w:szCs w:val="20"/>
              </w:rPr>
              <w:t xml:space="preserve"> sensory, </w:t>
            </w:r>
            <w:r>
              <w:rPr>
                <w:sz w:val="20"/>
                <w:szCs w:val="20"/>
              </w:rPr>
              <w:t xml:space="preserve"> s</w:t>
            </w:r>
            <w:r w:rsidRPr="00575180">
              <w:rPr>
                <w:sz w:val="20"/>
                <w:szCs w:val="20"/>
              </w:rPr>
              <w:t>ocial</w:t>
            </w:r>
            <w:r>
              <w:rPr>
                <w:sz w:val="20"/>
                <w:szCs w:val="20"/>
              </w:rPr>
              <w:t xml:space="preserve"> and </w:t>
            </w:r>
            <w:r w:rsidRPr="00575180">
              <w:rPr>
                <w:sz w:val="20"/>
                <w:szCs w:val="20"/>
              </w:rPr>
              <w:t xml:space="preserve">emotional </w:t>
            </w:r>
            <w:r>
              <w:rPr>
                <w:sz w:val="20"/>
                <w:szCs w:val="20"/>
              </w:rPr>
              <w:t>needs</w:t>
            </w:r>
            <w:r w:rsidRPr="00575180">
              <w:rPr>
                <w:sz w:val="20"/>
                <w:szCs w:val="20"/>
              </w:rPr>
              <w:t xml:space="preserve"> </w:t>
            </w:r>
            <w:r>
              <w:rPr>
                <w:sz w:val="20"/>
                <w:szCs w:val="20"/>
              </w:rPr>
              <w:t>affecting wellbeing and outcomes</w:t>
            </w:r>
          </w:p>
        </w:tc>
        <w:tc>
          <w:tcPr>
            <w:tcW w:w="6661" w:type="dxa"/>
          </w:tcPr>
          <w:p w:rsidR="005B66D4" w:rsidRDefault="00E22648" w:rsidP="0095697F">
            <w:pPr>
              <w:rPr>
                <w:sz w:val="20"/>
                <w:szCs w:val="20"/>
              </w:rPr>
            </w:pPr>
            <w:r>
              <w:rPr>
                <w:sz w:val="20"/>
                <w:szCs w:val="20"/>
              </w:rPr>
              <w:t xml:space="preserve">Class teams have a better understanding and greater confidence to meet </w:t>
            </w:r>
            <w:r w:rsidR="0039021E">
              <w:rPr>
                <w:sz w:val="20"/>
                <w:szCs w:val="20"/>
              </w:rPr>
              <w:t>children’s</w:t>
            </w:r>
            <w:r>
              <w:rPr>
                <w:sz w:val="20"/>
                <w:szCs w:val="20"/>
              </w:rPr>
              <w:t>’ sensory and communication needs</w:t>
            </w:r>
            <w:r w:rsidR="00066E59">
              <w:rPr>
                <w:sz w:val="20"/>
                <w:szCs w:val="20"/>
              </w:rPr>
              <w:t>.</w:t>
            </w:r>
          </w:p>
          <w:p w:rsidR="00E22648" w:rsidRDefault="005B66D4" w:rsidP="0095697F">
            <w:pPr>
              <w:rPr>
                <w:sz w:val="20"/>
                <w:szCs w:val="20"/>
              </w:rPr>
            </w:pPr>
            <w:r>
              <w:rPr>
                <w:sz w:val="20"/>
                <w:szCs w:val="20"/>
              </w:rPr>
              <w:t>Communication tools are used more consistently throughout the day</w:t>
            </w:r>
            <w:r w:rsidR="00E22648">
              <w:rPr>
                <w:sz w:val="20"/>
                <w:szCs w:val="20"/>
              </w:rPr>
              <w:t xml:space="preserve"> </w:t>
            </w:r>
          </w:p>
          <w:p w:rsidR="0095697F" w:rsidRPr="00575180" w:rsidRDefault="00066E59" w:rsidP="00066E59">
            <w:pPr>
              <w:rPr>
                <w:sz w:val="20"/>
                <w:szCs w:val="20"/>
              </w:rPr>
            </w:pPr>
            <w:r>
              <w:rPr>
                <w:sz w:val="20"/>
                <w:szCs w:val="20"/>
              </w:rPr>
              <w:t>SEMH teachers work to support specific students with identified SEMH needs disseminating agreed and successful strategies and approaches with  the staff as ap</w:t>
            </w:r>
            <w:r w:rsidR="00283F4C">
              <w:rPr>
                <w:sz w:val="20"/>
                <w:szCs w:val="20"/>
              </w:rPr>
              <w:t>p</w:t>
            </w:r>
            <w:r>
              <w:rPr>
                <w:sz w:val="20"/>
                <w:szCs w:val="20"/>
              </w:rPr>
              <w:t>ropriate</w:t>
            </w:r>
            <w:r w:rsidR="00283F4C">
              <w:rPr>
                <w:sz w:val="20"/>
                <w:szCs w:val="20"/>
              </w:rPr>
              <w:t>.</w:t>
            </w:r>
          </w:p>
        </w:tc>
      </w:tr>
      <w:tr w:rsidR="0095697F" w:rsidTr="00E22648">
        <w:trPr>
          <w:trHeight w:val="1247"/>
        </w:trPr>
        <w:tc>
          <w:tcPr>
            <w:tcW w:w="1474" w:type="dxa"/>
          </w:tcPr>
          <w:p w:rsidR="0095697F" w:rsidRPr="009F0F8F" w:rsidRDefault="0095697F" w:rsidP="0095697F">
            <w:r w:rsidRPr="009F0F8F">
              <w:t>C.</w:t>
            </w:r>
          </w:p>
        </w:tc>
        <w:tc>
          <w:tcPr>
            <w:tcW w:w="6658" w:type="dxa"/>
          </w:tcPr>
          <w:p w:rsidR="0095697F" w:rsidRPr="00575180" w:rsidRDefault="0095697F" w:rsidP="0095697F">
            <w:pPr>
              <w:rPr>
                <w:sz w:val="20"/>
                <w:szCs w:val="20"/>
              </w:rPr>
            </w:pPr>
            <w:r>
              <w:rPr>
                <w:sz w:val="20"/>
                <w:szCs w:val="20"/>
              </w:rPr>
              <w:t>Enhance opportunities to learn outside the classroom and in the wider community</w:t>
            </w:r>
          </w:p>
        </w:tc>
        <w:tc>
          <w:tcPr>
            <w:tcW w:w="6661" w:type="dxa"/>
          </w:tcPr>
          <w:p w:rsidR="0095697F" w:rsidRDefault="0095697F" w:rsidP="0095697F">
            <w:pPr>
              <w:rPr>
                <w:sz w:val="20"/>
                <w:szCs w:val="20"/>
              </w:rPr>
            </w:pPr>
            <w:r>
              <w:rPr>
                <w:sz w:val="20"/>
                <w:szCs w:val="20"/>
              </w:rPr>
              <w:t>All children have access to learning opportunities outside the classroom + /or in the wider community</w:t>
            </w:r>
            <w:r w:rsidR="00E22648">
              <w:rPr>
                <w:sz w:val="20"/>
                <w:szCs w:val="20"/>
              </w:rPr>
              <w:t>.</w:t>
            </w:r>
          </w:p>
          <w:p w:rsidR="0095697F" w:rsidRDefault="0095697F" w:rsidP="0095697F">
            <w:pPr>
              <w:rPr>
                <w:sz w:val="20"/>
                <w:szCs w:val="20"/>
              </w:rPr>
            </w:pPr>
            <w:r>
              <w:rPr>
                <w:sz w:val="20"/>
                <w:szCs w:val="20"/>
              </w:rPr>
              <w:t>Children are involved in enhancing outdoor learning space.</w:t>
            </w:r>
          </w:p>
          <w:p w:rsidR="005B66D4" w:rsidRDefault="005B66D4" w:rsidP="0095697F">
            <w:pPr>
              <w:rPr>
                <w:sz w:val="20"/>
                <w:szCs w:val="20"/>
              </w:rPr>
            </w:pPr>
            <w:r>
              <w:rPr>
                <w:sz w:val="20"/>
                <w:szCs w:val="20"/>
              </w:rPr>
              <w:t>Pupil and staff wellbeing are well supported through outdoor learning</w:t>
            </w:r>
          </w:p>
          <w:p w:rsidR="00E22648" w:rsidRPr="00575180" w:rsidRDefault="00E22648" w:rsidP="0095697F">
            <w:pPr>
              <w:rPr>
                <w:sz w:val="20"/>
                <w:szCs w:val="20"/>
              </w:rPr>
            </w:pPr>
            <w:r>
              <w:rPr>
                <w:sz w:val="20"/>
                <w:szCs w:val="20"/>
              </w:rPr>
              <w:t>Daily Mile to be rolled out across all KS1-3 classes once track installed</w:t>
            </w:r>
          </w:p>
        </w:tc>
      </w:tr>
      <w:tr w:rsidR="0095697F" w:rsidTr="00B244F3">
        <w:trPr>
          <w:trHeight w:val="439"/>
        </w:trPr>
        <w:tc>
          <w:tcPr>
            <w:tcW w:w="1474" w:type="dxa"/>
          </w:tcPr>
          <w:p w:rsidR="0095697F" w:rsidRPr="009F0F8F" w:rsidRDefault="0095697F" w:rsidP="0095697F">
            <w:r w:rsidRPr="009F0F8F">
              <w:t>D.</w:t>
            </w:r>
          </w:p>
        </w:tc>
        <w:tc>
          <w:tcPr>
            <w:tcW w:w="6658" w:type="dxa"/>
          </w:tcPr>
          <w:p w:rsidR="0095697F" w:rsidRPr="00575180" w:rsidRDefault="00E22648" w:rsidP="0095697F">
            <w:pPr>
              <w:rPr>
                <w:sz w:val="20"/>
                <w:szCs w:val="20"/>
              </w:rPr>
            </w:pPr>
            <w:r>
              <w:rPr>
                <w:sz w:val="20"/>
                <w:szCs w:val="20"/>
              </w:rPr>
              <w:t>Att</w:t>
            </w:r>
            <w:r w:rsidR="0039021E">
              <w:rPr>
                <w:sz w:val="20"/>
                <w:szCs w:val="20"/>
              </w:rPr>
              <w:t>endance levels are maintained (</w:t>
            </w:r>
            <w:r>
              <w:rPr>
                <w:sz w:val="20"/>
                <w:szCs w:val="20"/>
              </w:rPr>
              <w:t>Improved for PP children). Fixed term exclusions decrease.</w:t>
            </w:r>
          </w:p>
        </w:tc>
        <w:tc>
          <w:tcPr>
            <w:tcW w:w="6661" w:type="dxa"/>
          </w:tcPr>
          <w:p w:rsidR="0095697F" w:rsidRPr="00575180" w:rsidRDefault="0095697F" w:rsidP="0095697F">
            <w:pPr>
              <w:rPr>
                <w:sz w:val="20"/>
                <w:szCs w:val="20"/>
              </w:rPr>
            </w:pPr>
          </w:p>
        </w:tc>
      </w:tr>
    </w:tbl>
    <w:p w:rsidR="00F766B3" w:rsidRDefault="00F766B3" w:rsidP="006F771C">
      <w:pPr>
        <w:spacing w:after="0"/>
      </w:pPr>
    </w:p>
    <w:tbl>
      <w:tblPr>
        <w:tblStyle w:val="TableGrid"/>
        <w:tblW w:w="0" w:type="auto"/>
        <w:tblLook w:val="04A0" w:firstRow="1" w:lastRow="0" w:firstColumn="1" w:lastColumn="0" w:noHBand="0" w:noVBand="1"/>
      </w:tblPr>
      <w:tblGrid>
        <w:gridCol w:w="2557"/>
        <w:gridCol w:w="2576"/>
        <w:gridCol w:w="2556"/>
        <w:gridCol w:w="2567"/>
        <w:gridCol w:w="2556"/>
        <w:gridCol w:w="2576"/>
      </w:tblGrid>
      <w:tr w:rsidR="006F771C" w:rsidTr="00B244F3">
        <w:tc>
          <w:tcPr>
            <w:tcW w:w="15388" w:type="dxa"/>
            <w:gridSpan w:val="6"/>
            <w:shd w:val="clear" w:color="auto" w:fill="C6D9F1" w:themeFill="text2" w:themeFillTint="33"/>
          </w:tcPr>
          <w:p w:rsidR="006F771C" w:rsidRPr="009F0F8F" w:rsidRDefault="006F771C" w:rsidP="006F771C">
            <w:pPr>
              <w:pStyle w:val="ListParagraph"/>
              <w:numPr>
                <w:ilvl w:val="0"/>
                <w:numId w:val="1"/>
              </w:numPr>
              <w:rPr>
                <w:b/>
              </w:rPr>
            </w:pPr>
            <w:r w:rsidRPr="009F0F8F">
              <w:rPr>
                <w:b/>
              </w:rPr>
              <w:t>Planned expenditure</w:t>
            </w:r>
          </w:p>
        </w:tc>
      </w:tr>
      <w:tr w:rsidR="003E2A4A" w:rsidTr="00B244F3">
        <w:tc>
          <w:tcPr>
            <w:tcW w:w="2557" w:type="dxa"/>
          </w:tcPr>
          <w:p w:rsidR="006F771C" w:rsidRPr="009F0F8F" w:rsidRDefault="006F771C">
            <w:pPr>
              <w:rPr>
                <w:b/>
              </w:rPr>
            </w:pPr>
            <w:r w:rsidRPr="009F0F8F">
              <w:rPr>
                <w:b/>
              </w:rPr>
              <w:t>Academic year</w:t>
            </w:r>
          </w:p>
        </w:tc>
        <w:tc>
          <w:tcPr>
            <w:tcW w:w="12831" w:type="dxa"/>
            <w:gridSpan w:val="5"/>
          </w:tcPr>
          <w:p w:rsidR="006F771C" w:rsidRDefault="005735EC">
            <w:r>
              <w:t>19-20</w:t>
            </w:r>
          </w:p>
        </w:tc>
      </w:tr>
      <w:tr w:rsidR="006F771C" w:rsidTr="00B244F3">
        <w:tc>
          <w:tcPr>
            <w:tcW w:w="15388" w:type="dxa"/>
            <w:gridSpan w:val="6"/>
          </w:tcPr>
          <w:p w:rsidR="006F771C" w:rsidRPr="003E68C2" w:rsidRDefault="006F771C" w:rsidP="006F771C">
            <w:pPr>
              <w:pStyle w:val="ListParagraph"/>
              <w:numPr>
                <w:ilvl w:val="0"/>
                <w:numId w:val="2"/>
              </w:numPr>
              <w:rPr>
                <w:b/>
              </w:rPr>
            </w:pPr>
            <w:r w:rsidRPr="003E68C2">
              <w:rPr>
                <w:b/>
              </w:rPr>
              <w:t>Quality of teaching for all</w:t>
            </w:r>
          </w:p>
        </w:tc>
      </w:tr>
      <w:tr w:rsidR="00B244F3" w:rsidTr="00B244F3">
        <w:trPr>
          <w:trHeight w:val="279"/>
        </w:trPr>
        <w:tc>
          <w:tcPr>
            <w:tcW w:w="2557" w:type="dxa"/>
          </w:tcPr>
          <w:p w:rsidR="006F771C" w:rsidRPr="003E68C2" w:rsidRDefault="006F771C">
            <w:pPr>
              <w:rPr>
                <w:b/>
              </w:rPr>
            </w:pPr>
            <w:r w:rsidRPr="003E68C2">
              <w:rPr>
                <w:b/>
              </w:rPr>
              <w:lastRenderedPageBreak/>
              <w:t>Desired outcome</w:t>
            </w:r>
          </w:p>
        </w:tc>
        <w:tc>
          <w:tcPr>
            <w:tcW w:w="2576" w:type="dxa"/>
          </w:tcPr>
          <w:p w:rsidR="006F771C" w:rsidRPr="003E68C2" w:rsidRDefault="006F771C">
            <w:pPr>
              <w:rPr>
                <w:b/>
              </w:rPr>
            </w:pPr>
            <w:r w:rsidRPr="003E68C2">
              <w:rPr>
                <w:b/>
              </w:rPr>
              <w:t>Chosen action/approach</w:t>
            </w:r>
          </w:p>
        </w:tc>
        <w:tc>
          <w:tcPr>
            <w:tcW w:w="2556" w:type="dxa"/>
          </w:tcPr>
          <w:p w:rsidR="006F771C" w:rsidRPr="003E68C2" w:rsidRDefault="006F771C">
            <w:pPr>
              <w:rPr>
                <w:b/>
              </w:rPr>
            </w:pPr>
            <w:r w:rsidRPr="003E68C2">
              <w:rPr>
                <w:b/>
              </w:rPr>
              <w:t>What evidence and rationale for this choice?</w:t>
            </w:r>
          </w:p>
        </w:tc>
        <w:tc>
          <w:tcPr>
            <w:tcW w:w="2567" w:type="dxa"/>
          </w:tcPr>
          <w:p w:rsidR="006F771C" w:rsidRPr="003E68C2" w:rsidRDefault="006F771C">
            <w:pPr>
              <w:rPr>
                <w:b/>
              </w:rPr>
            </w:pPr>
            <w:r w:rsidRPr="003E68C2">
              <w:rPr>
                <w:b/>
              </w:rPr>
              <w:t>How will you ensure it is implemented well?</w:t>
            </w:r>
          </w:p>
        </w:tc>
        <w:tc>
          <w:tcPr>
            <w:tcW w:w="2556" w:type="dxa"/>
          </w:tcPr>
          <w:p w:rsidR="006F771C" w:rsidRPr="003E68C2" w:rsidRDefault="006F771C">
            <w:pPr>
              <w:rPr>
                <w:b/>
              </w:rPr>
            </w:pPr>
            <w:r w:rsidRPr="003E68C2">
              <w:rPr>
                <w:b/>
              </w:rPr>
              <w:t>Staff lead</w:t>
            </w:r>
          </w:p>
        </w:tc>
        <w:tc>
          <w:tcPr>
            <w:tcW w:w="2576" w:type="dxa"/>
          </w:tcPr>
          <w:p w:rsidR="006F771C" w:rsidRPr="003E68C2" w:rsidRDefault="006F771C">
            <w:pPr>
              <w:rPr>
                <w:b/>
              </w:rPr>
            </w:pPr>
            <w:r w:rsidRPr="003E68C2">
              <w:rPr>
                <w:b/>
              </w:rPr>
              <w:t xml:space="preserve">When will implementation be reviewed? </w:t>
            </w:r>
          </w:p>
        </w:tc>
      </w:tr>
      <w:tr w:rsidR="00B244F3" w:rsidTr="00B244F3">
        <w:trPr>
          <w:trHeight w:val="277"/>
        </w:trPr>
        <w:tc>
          <w:tcPr>
            <w:tcW w:w="2557" w:type="dxa"/>
          </w:tcPr>
          <w:p w:rsidR="00B244F3" w:rsidRPr="00B244F3" w:rsidRDefault="00B244F3" w:rsidP="00B244F3">
            <w:pPr>
              <w:rPr>
                <w:sz w:val="20"/>
                <w:szCs w:val="20"/>
              </w:rPr>
            </w:pPr>
            <w:r>
              <w:rPr>
                <w:sz w:val="20"/>
                <w:szCs w:val="20"/>
              </w:rPr>
              <w:t>A.</w:t>
            </w:r>
          </w:p>
          <w:p w:rsidR="00B244F3" w:rsidRPr="00B244F3" w:rsidRDefault="00D703FC" w:rsidP="00B244F3">
            <w:pPr>
              <w:rPr>
                <w:sz w:val="20"/>
                <w:szCs w:val="20"/>
              </w:rPr>
            </w:pPr>
            <w:r>
              <w:rPr>
                <w:sz w:val="20"/>
                <w:szCs w:val="20"/>
              </w:rPr>
              <w:t>P</w:t>
            </w:r>
            <w:r w:rsidR="00B244F3" w:rsidRPr="00B244F3">
              <w:rPr>
                <w:sz w:val="20"/>
                <w:szCs w:val="20"/>
              </w:rPr>
              <w:t>ersonalisation of learning for all pupils</w:t>
            </w:r>
          </w:p>
        </w:tc>
        <w:tc>
          <w:tcPr>
            <w:tcW w:w="2576" w:type="dxa"/>
          </w:tcPr>
          <w:p w:rsidR="00B244F3" w:rsidRDefault="00E22648" w:rsidP="00B244F3">
            <w:pPr>
              <w:rPr>
                <w:sz w:val="18"/>
                <w:szCs w:val="18"/>
              </w:rPr>
            </w:pPr>
            <w:r>
              <w:rPr>
                <w:sz w:val="18"/>
                <w:szCs w:val="18"/>
              </w:rPr>
              <w:t>PLPs are embedded across the sch</w:t>
            </w:r>
            <w:r w:rsidR="0039021E">
              <w:rPr>
                <w:sz w:val="18"/>
                <w:szCs w:val="18"/>
              </w:rPr>
              <w:t>ool for the whole academic year and can now be used to support AR process.</w:t>
            </w:r>
          </w:p>
          <w:p w:rsidR="00D703FC" w:rsidRDefault="00E22648" w:rsidP="00B244F3">
            <w:pPr>
              <w:rPr>
                <w:sz w:val="18"/>
                <w:szCs w:val="18"/>
              </w:rPr>
            </w:pPr>
            <w:r>
              <w:rPr>
                <w:sz w:val="18"/>
                <w:szCs w:val="18"/>
              </w:rPr>
              <w:t xml:space="preserve">Positive Behaviour Support Plans </w:t>
            </w:r>
            <w:r w:rsidR="00D703FC">
              <w:rPr>
                <w:sz w:val="18"/>
                <w:szCs w:val="18"/>
              </w:rPr>
              <w:t>implement</w:t>
            </w:r>
            <w:r w:rsidR="00D717D8">
              <w:rPr>
                <w:sz w:val="18"/>
                <w:szCs w:val="18"/>
              </w:rPr>
              <w:t>ed</w:t>
            </w:r>
            <w:r w:rsidR="00D703FC">
              <w:rPr>
                <w:sz w:val="18"/>
                <w:szCs w:val="18"/>
              </w:rPr>
              <w:t xml:space="preserve"> for all pupils alongside PLPs</w:t>
            </w:r>
          </w:p>
          <w:p w:rsidR="00B244F3" w:rsidRDefault="00B244F3">
            <w:pPr>
              <w:rPr>
                <w:sz w:val="18"/>
                <w:szCs w:val="18"/>
              </w:rPr>
            </w:pPr>
          </w:p>
        </w:tc>
        <w:tc>
          <w:tcPr>
            <w:tcW w:w="2556" w:type="dxa"/>
          </w:tcPr>
          <w:p w:rsidR="00B244F3" w:rsidRDefault="0039021E" w:rsidP="008A10D4">
            <w:pPr>
              <w:rPr>
                <w:sz w:val="18"/>
                <w:szCs w:val="18"/>
              </w:rPr>
            </w:pPr>
            <w:r>
              <w:rPr>
                <w:sz w:val="18"/>
                <w:szCs w:val="18"/>
              </w:rPr>
              <w:t>Curriculum review throughout the year to support more personalised curriculum to better support achievement of progress towards long term outcomes and ensure that all children and young people are excellently prepared for the next stage of their lives.</w:t>
            </w:r>
          </w:p>
        </w:tc>
        <w:tc>
          <w:tcPr>
            <w:tcW w:w="2567" w:type="dxa"/>
          </w:tcPr>
          <w:p w:rsidR="0039021E" w:rsidRDefault="0039021E">
            <w:pPr>
              <w:rPr>
                <w:sz w:val="18"/>
                <w:szCs w:val="18"/>
              </w:rPr>
            </w:pPr>
            <w:r>
              <w:rPr>
                <w:sz w:val="18"/>
                <w:szCs w:val="18"/>
              </w:rPr>
              <w:t xml:space="preserve">Staff CPD. All staff involved in shaping and development of curriculum intent in EYFS, KS103, 14-19 pathway. </w:t>
            </w:r>
          </w:p>
          <w:p w:rsidR="00B244F3" w:rsidRDefault="00D717D8">
            <w:pPr>
              <w:rPr>
                <w:sz w:val="18"/>
                <w:szCs w:val="18"/>
              </w:rPr>
            </w:pPr>
            <w:r>
              <w:rPr>
                <w:sz w:val="18"/>
                <w:szCs w:val="18"/>
              </w:rPr>
              <w:t>Further</w:t>
            </w:r>
            <w:r w:rsidR="0039021E">
              <w:rPr>
                <w:sz w:val="18"/>
                <w:szCs w:val="18"/>
              </w:rPr>
              <w:t xml:space="preserve"> r</w:t>
            </w:r>
            <w:r w:rsidR="00B244F3">
              <w:rPr>
                <w:sz w:val="18"/>
                <w:szCs w:val="18"/>
              </w:rPr>
              <w:t xml:space="preserve">aise expectations and shift culture of school </w:t>
            </w:r>
            <w:r w:rsidR="0039021E">
              <w:rPr>
                <w:sz w:val="18"/>
                <w:szCs w:val="18"/>
              </w:rPr>
              <w:t xml:space="preserve">to reflect continued </w:t>
            </w:r>
            <w:r>
              <w:rPr>
                <w:sz w:val="18"/>
                <w:szCs w:val="18"/>
              </w:rPr>
              <w:t>aspiration</w:t>
            </w:r>
            <w:r w:rsidR="0039021E">
              <w:rPr>
                <w:sz w:val="18"/>
                <w:szCs w:val="18"/>
              </w:rPr>
              <w:t xml:space="preserve"> and ambition for the children</w:t>
            </w:r>
          </w:p>
          <w:p w:rsidR="00B244F3" w:rsidRDefault="00B244F3">
            <w:pPr>
              <w:rPr>
                <w:sz w:val="18"/>
                <w:szCs w:val="18"/>
              </w:rPr>
            </w:pPr>
          </w:p>
        </w:tc>
        <w:tc>
          <w:tcPr>
            <w:tcW w:w="2556" w:type="dxa"/>
          </w:tcPr>
          <w:p w:rsidR="00B244F3" w:rsidRDefault="00283F4C" w:rsidP="00283F4C">
            <w:pPr>
              <w:rPr>
                <w:sz w:val="18"/>
                <w:szCs w:val="18"/>
              </w:rPr>
            </w:pPr>
            <w:r>
              <w:rPr>
                <w:sz w:val="18"/>
                <w:szCs w:val="18"/>
              </w:rPr>
              <w:t>Executive H</w:t>
            </w:r>
            <w:r w:rsidR="00B244F3">
              <w:rPr>
                <w:sz w:val="18"/>
                <w:szCs w:val="18"/>
              </w:rPr>
              <w:t xml:space="preserve">ead </w:t>
            </w:r>
            <w:r>
              <w:rPr>
                <w:sz w:val="18"/>
                <w:szCs w:val="18"/>
              </w:rPr>
              <w:t>T</w:t>
            </w:r>
            <w:r w:rsidR="00B244F3">
              <w:rPr>
                <w:sz w:val="18"/>
                <w:szCs w:val="18"/>
              </w:rPr>
              <w:t>eacher, Head of School</w:t>
            </w:r>
            <w:r w:rsidR="0039021E">
              <w:rPr>
                <w:sz w:val="18"/>
                <w:szCs w:val="18"/>
              </w:rPr>
              <w:t xml:space="preserve">, </w:t>
            </w:r>
            <w:r w:rsidR="00D717D8">
              <w:rPr>
                <w:sz w:val="18"/>
                <w:szCs w:val="18"/>
              </w:rPr>
              <w:t>SLT, Phase leaders, newly appointed  ASD Lead,</w:t>
            </w:r>
            <w:r w:rsidR="0039021E">
              <w:rPr>
                <w:sz w:val="18"/>
                <w:szCs w:val="18"/>
              </w:rPr>
              <w:t xml:space="preserve"> all staff</w:t>
            </w:r>
            <w:r w:rsidR="00B244F3">
              <w:rPr>
                <w:sz w:val="18"/>
                <w:szCs w:val="18"/>
              </w:rPr>
              <w:t>.</w:t>
            </w:r>
          </w:p>
        </w:tc>
        <w:tc>
          <w:tcPr>
            <w:tcW w:w="2576" w:type="dxa"/>
          </w:tcPr>
          <w:p w:rsidR="00B244F3" w:rsidRDefault="00D703FC">
            <w:pPr>
              <w:rPr>
                <w:sz w:val="18"/>
                <w:szCs w:val="18"/>
              </w:rPr>
            </w:pPr>
            <w:r>
              <w:rPr>
                <w:sz w:val="18"/>
                <w:szCs w:val="18"/>
              </w:rPr>
              <w:t>Termly</w:t>
            </w:r>
          </w:p>
          <w:p w:rsidR="00436128" w:rsidRPr="00E47BF3" w:rsidRDefault="00436128">
            <w:pPr>
              <w:rPr>
                <w:sz w:val="18"/>
                <w:szCs w:val="18"/>
              </w:rPr>
            </w:pPr>
            <w:r>
              <w:rPr>
                <w:sz w:val="18"/>
                <w:szCs w:val="18"/>
              </w:rPr>
              <w:t>Improvement plans an governors  reports</w:t>
            </w:r>
          </w:p>
        </w:tc>
      </w:tr>
      <w:tr w:rsidR="009A76C6" w:rsidTr="00B244F3">
        <w:trPr>
          <w:trHeight w:val="277"/>
        </w:trPr>
        <w:tc>
          <w:tcPr>
            <w:tcW w:w="2557" w:type="dxa"/>
          </w:tcPr>
          <w:p w:rsidR="009A76C6" w:rsidRDefault="009A76C6" w:rsidP="009A76C6">
            <w:pPr>
              <w:rPr>
                <w:sz w:val="20"/>
                <w:szCs w:val="20"/>
              </w:rPr>
            </w:pPr>
            <w:r w:rsidRPr="0001218D">
              <w:rPr>
                <w:sz w:val="20"/>
                <w:szCs w:val="20"/>
              </w:rPr>
              <w:t xml:space="preserve">B.  </w:t>
            </w:r>
          </w:p>
          <w:p w:rsidR="009A76C6" w:rsidRPr="0001218D" w:rsidRDefault="009A76C6" w:rsidP="009A76C6">
            <w:pPr>
              <w:rPr>
                <w:sz w:val="20"/>
                <w:szCs w:val="20"/>
              </w:rPr>
            </w:pPr>
            <w:r>
              <w:rPr>
                <w:sz w:val="20"/>
                <w:szCs w:val="20"/>
              </w:rPr>
              <w:t>Communication, sensory,  s</w:t>
            </w:r>
            <w:r w:rsidRPr="00575180">
              <w:rPr>
                <w:sz w:val="20"/>
                <w:szCs w:val="20"/>
              </w:rPr>
              <w:t>ocial</w:t>
            </w:r>
            <w:r>
              <w:rPr>
                <w:sz w:val="20"/>
                <w:szCs w:val="20"/>
              </w:rPr>
              <w:t xml:space="preserve"> and </w:t>
            </w:r>
            <w:r w:rsidRPr="00575180">
              <w:rPr>
                <w:sz w:val="20"/>
                <w:szCs w:val="20"/>
              </w:rPr>
              <w:t xml:space="preserve">emotional </w:t>
            </w:r>
            <w:r>
              <w:rPr>
                <w:sz w:val="20"/>
                <w:szCs w:val="20"/>
              </w:rPr>
              <w:t>needs</w:t>
            </w:r>
            <w:r w:rsidRPr="00575180">
              <w:rPr>
                <w:sz w:val="20"/>
                <w:szCs w:val="20"/>
              </w:rPr>
              <w:t xml:space="preserve"> </w:t>
            </w:r>
            <w:r>
              <w:rPr>
                <w:sz w:val="20"/>
                <w:szCs w:val="20"/>
              </w:rPr>
              <w:t>affecting wellbeing and outcomes</w:t>
            </w:r>
          </w:p>
        </w:tc>
        <w:tc>
          <w:tcPr>
            <w:tcW w:w="2576" w:type="dxa"/>
          </w:tcPr>
          <w:p w:rsidR="009A76C6" w:rsidRDefault="00436128" w:rsidP="009A76C6">
            <w:pPr>
              <w:rPr>
                <w:sz w:val="18"/>
                <w:szCs w:val="18"/>
              </w:rPr>
            </w:pPr>
            <w:r>
              <w:rPr>
                <w:sz w:val="18"/>
                <w:szCs w:val="18"/>
              </w:rPr>
              <w:t>Positive Behaviour Support plans capture the learning, communication and sensory preferences (where appropriate</w:t>
            </w:r>
            <w:r w:rsidR="00D717D8">
              <w:rPr>
                <w:sz w:val="18"/>
                <w:szCs w:val="18"/>
              </w:rPr>
              <w:t>)</w:t>
            </w:r>
            <w:r>
              <w:rPr>
                <w:sz w:val="18"/>
                <w:szCs w:val="18"/>
              </w:rPr>
              <w:t xml:space="preserve"> for each child</w:t>
            </w:r>
            <w:r w:rsidR="00D717D8">
              <w:rPr>
                <w:sz w:val="18"/>
                <w:szCs w:val="18"/>
              </w:rPr>
              <w:t>. C</w:t>
            </w:r>
            <w:r>
              <w:rPr>
                <w:sz w:val="18"/>
                <w:szCs w:val="18"/>
              </w:rPr>
              <w:t>onsistency of approach throughout the school day.</w:t>
            </w:r>
          </w:p>
          <w:p w:rsidR="00D717D8" w:rsidRDefault="00D717D8" w:rsidP="009A76C6">
            <w:pPr>
              <w:rPr>
                <w:sz w:val="18"/>
                <w:szCs w:val="18"/>
              </w:rPr>
            </w:pPr>
            <w:r>
              <w:rPr>
                <w:sz w:val="18"/>
                <w:szCs w:val="18"/>
              </w:rPr>
              <w:t>Children supported to develop awareness of self and self</w:t>
            </w:r>
            <w:r w:rsidR="008A10D4">
              <w:rPr>
                <w:sz w:val="18"/>
                <w:szCs w:val="18"/>
              </w:rPr>
              <w:t>-</w:t>
            </w:r>
            <w:r w:rsidR="005A1B63">
              <w:rPr>
                <w:sz w:val="18"/>
                <w:szCs w:val="18"/>
              </w:rPr>
              <w:t>management</w:t>
            </w:r>
            <w:r>
              <w:rPr>
                <w:sz w:val="18"/>
                <w:szCs w:val="18"/>
              </w:rPr>
              <w:t xml:space="preserve"> skills.</w:t>
            </w:r>
          </w:p>
          <w:p w:rsidR="00066E59" w:rsidRDefault="00066E59" w:rsidP="009A76C6">
            <w:pPr>
              <w:rPr>
                <w:sz w:val="18"/>
                <w:szCs w:val="18"/>
              </w:rPr>
            </w:pPr>
          </w:p>
          <w:p w:rsidR="00066E59" w:rsidRDefault="00066E59" w:rsidP="009A76C6">
            <w:pPr>
              <w:rPr>
                <w:sz w:val="18"/>
                <w:szCs w:val="18"/>
              </w:rPr>
            </w:pPr>
            <w:r>
              <w:rPr>
                <w:sz w:val="18"/>
                <w:szCs w:val="18"/>
              </w:rPr>
              <w:t>OT coffee mornings</w:t>
            </w:r>
            <w:r w:rsidR="00436128">
              <w:rPr>
                <w:sz w:val="18"/>
                <w:szCs w:val="18"/>
              </w:rPr>
              <w:t xml:space="preserve"> and workshops for parent</w:t>
            </w:r>
            <w:r>
              <w:rPr>
                <w:sz w:val="18"/>
                <w:szCs w:val="18"/>
              </w:rPr>
              <w:t>.</w:t>
            </w:r>
          </w:p>
          <w:p w:rsidR="00066E59" w:rsidRPr="00593FF9" w:rsidRDefault="00066E59" w:rsidP="009A76C6">
            <w:pPr>
              <w:rPr>
                <w:sz w:val="18"/>
                <w:szCs w:val="18"/>
              </w:rPr>
            </w:pPr>
            <w:r>
              <w:rPr>
                <w:sz w:val="18"/>
                <w:szCs w:val="18"/>
              </w:rPr>
              <w:t>Targeted CPD specifically on sensory needs for all staff</w:t>
            </w:r>
          </w:p>
        </w:tc>
        <w:tc>
          <w:tcPr>
            <w:tcW w:w="2556" w:type="dxa"/>
          </w:tcPr>
          <w:p w:rsidR="009A76C6" w:rsidRDefault="00436128" w:rsidP="009A76C6">
            <w:r>
              <w:t xml:space="preserve">Further development of pedagogy to support </w:t>
            </w:r>
            <w:r w:rsidR="005A1B63">
              <w:t>the SEND</w:t>
            </w:r>
            <w:r>
              <w:t xml:space="preserve"> of all children to ensure that they </w:t>
            </w:r>
          </w:p>
        </w:tc>
        <w:tc>
          <w:tcPr>
            <w:tcW w:w="2567" w:type="dxa"/>
          </w:tcPr>
          <w:p w:rsidR="003374E9" w:rsidRDefault="003374E9" w:rsidP="009A76C6">
            <w:pPr>
              <w:rPr>
                <w:sz w:val="18"/>
                <w:szCs w:val="18"/>
              </w:rPr>
            </w:pPr>
            <w:r>
              <w:rPr>
                <w:sz w:val="18"/>
                <w:szCs w:val="18"/>
              </w:rPr>
              <w:t xml:space="preserve">Additional SALT and OT time to support communication and social interaction skills </w:t>
            </w:r>
          </w:p>
          <w:p w:rsidR="009A76C6" w:rsidRDefault="009A76C6" w:rsidP="009A76C6">
            <w:pPr>
              <w:rPr>
                <w:sz w:val="18"/>
                <w:szCs w:val="18"/>
              </w:rPr>
            </w:pPr>
            <w:r>
              <w:rPr>
                <w:sz w:val="18"/>
                <w:szCs w:val="18"/>
              </w:rPr>
              <w:t>Sharing of good practice</w:t>
            </w:r>
          </w:p>
          <w:p w:rsidR="009A76C6" w:rsidRDefault="009A76C6" w:rsidP="009A76C6">
            <w:pPr>
              <w:rPr>
                <w:sz w:val="18"/>
                <w:szCs w:val="18"/>
              </w:rPr>
            </w:pPr>
            <w:r>
              <w:rPr>
                <w:sz w:val="18"/>
                <w:szCs w:val="18"/>
              </w:rPr>
              <w:t>Specific CPD sessions</w:t>
            </w:r>
          </w:p>
          <w:p w:rsidR="00436128" w:rsidRDefault="00436128" w:rsidP="009A76C6">
            <w:pPr>
              <w:rPr>
                <w:sz w:val="18"/>
                <w:szCs w:val="18"/>
              </w:rPr>
            </w:pPr>
            <w:r>
              <w:rPr>
                <w:sz w:val="18"/>
                <w:szCs w:val="18"/>
              </w:rPr>
              <w:t>Monitoring of PBS plans by phase leaders, ASD lead, Behaviour mentors.</w:t>
            </w:r>
          </w:p>
          <w:p w:rsidR="00D717D8" w:rsidRDefault="00D717D8" w:rsidP="009A76C6">
            <w:pPr>
              <w:rPr>
                <w:sz w:val="18"/>
                <w:szCs w:val="18"/>
              </w:rPr>
            </w:pPr>
          </w:p>
          <w:p w:rsidR="003374E9" w:rsidRDefault="003374E9" w:rsidP="009A76C6">
            <w:pPr>
              <w:rPr>
                <w:sz w:val="18"/>
                <w:szCs w:val="18"/>
              </w:rPr>
            </w:pPr>
          </w:p>
          <w:p w:rsidR="003374E9" w:rsidRDefault="003374E9" w:rsidP="009A76C6">
            <w:pPr>
              <w:rPr>
                <w:sz w:val="18"/>
                <w:szCs w:val="18"/>
              </w:rPr>
            </w:pPr>
          </w:p>
          <w:p w:rsidR="00436128" w:rsidRDefault="00436128" w:rsidP="009A76C6">
            <w:pPr>
              <w:rPr>
                <w:sz w:val="18"/>
                <w:szCs w:val="18"/>
              </w:rPr>
            </w:pPr>
            <w:r>
              <w:rPr>
                <w:sz w:val="18"/>
                <w:szCs w:val="18"/>
              </w:rPr>
              <w:t xml:space="preserve">Measure impact of </w:t>
            </w:r>
            <w:r w:rsidR="00D717D8">
              <w:rPr>
                <w:sz w:val="18"/>
                <w:szCs w:val="18"/>
              </w:rPr>
              <w:t>training</w:t>
            </w:r>
            <w:r>
              <w:rPr>
                <w:sz w:val="18"/>
                <w:szCs w:val="18"/>
              </w:rPr>
              <w:t xml:space="preserve"> sessions.</w:t>
            </w:r>
          </w:p>
          <w:p w:rsidR="00436128" w:rsidRDefault="00436128" w:rsidP="009A76C6">
            <w:pPr>
              <w:rPr>
                <w:sz w:val="18"/>
                <w:szCs w:val="18"/>
              </w:rPr>
            </w:pPr>
            <w:r>
              <w:rPr>
                <w:sz w:val="18"/>
                <w:szCs w:val="18"/>
              </w:rPr>
              <w:t>Consider buying in additional OT time.</w:t>
            </w:r>
          </w:p>
          <w:p w:rsidR="009A76C6" w:rsidRPr="00B3316E" w:rsidRDefault="009A76C6" w:rsidP="009A76C6">
            <w:pPr>
              <w:rPr>
                <w:sz w:val="18"/>
                <w:szCs w:val="18"/>
              </w:rPr>
            </w:pPr>
          </w:p>
        </w:tc>
        <w:tc>
          <w:tcPr>
            <w:tcW w:w="2556" w:type="dxa"/>
          </w:tcPr>
          <w:p w:rsidR="009A76C6" w:rsidRDefault="009A76C6" w:rsidP="009A76C6">
            <w:pPr>
              <w:rPr>
                <w:sz w:val="18"/>
                <w:szCs w:val="18"/>
              </w:rPr>
            </w:pPr>
            <w:r>
              <w:rPr>
                <w:sz w:val="18"/>
                <w:szCs w:val="18"/>
              </w:rPr>
              <w:t>Head of School</w:t>
            </w:r>
          </w:p>
          <w:p w:rsidR="00D717D8" w:rsidRDefault="00D717D8" w:rsidP="009A76C6">
            <w:pPr>
              <w:rPr>
                <w:sz w:val="18"/>
                <w:szCs w:val="18"/>
              </w:rPr>
            </w:pPr>
            <w:r>
              <w:rPr>
                <w:sz w:val="18"/>
                <w:szCs w:val="18"/>
              </w:rPr>
              <w:t>Leaders</w:t>
            </w:r>
          </w:p>
          <w:p w:rsidR="00436128" w:rsidRDefault="00436128" w:rsidP="009A76C6">
            <w:pPr>
              <w:rPr>
                <w:sz w:val="18"/>
                <w:szCs w:val="18"/>
              </w:rPr>
            </w:pPr>
            <w:r>
              <w:rPr>
                <w:sz w:val="18"/>
                <w:szCs w:val="18"/>
              </w:rPr>
              <w:t>ASD lead</w:t>
            </w:r>
          </w:p>
          <w:p w:rsidR="00436128" w:rsidRDefault="00436128" w:rsidP="009A76C6">
            <w:pPr>
              <w:rPr>
                <w:sz w:val="18"/>
                <w:szCs w:val="18"/>
              </w:rPr>
            </w:pPr>
            <w:r>
              <w:rPr>
                <w:sz w:val="18"/>
                <w:szCs w:val="18"/>
              </w:rPr>
              <w:t>Behaviour mentors</w:t>
            </w:r>
          </w:p>
          <w:p w:rsidR="009A76C6" w:rsidRPr="00E17D13" w:rsidRDefault="009A76C6" w:rsidP="009A76C6">
            <w:pPr>
              <w:rPr>
                <w:sz w:val="18"/>
                <w:szCs w:val="18"/>
              </w:rPr>
            </w:pPr>
          </w:p>
        </w:tc>
        <w:tc>
          <w:tcPr>
            <w:tcW w:w="2576" w:type="dxa"/>
          </w:tcPr>
          <w:p w:rsidR="00436128" w:rsidRDefault="00436128" w:rsidP="00436128">
            <w:pPr>
              <w:rPr>
                <w:sz w:val="18"/>
                <w:szCs w:val="18"/>
              </w:rPr>
            </w:pPr>
            <w:r>
              <w:rPr>
                <w:sz w:val="18"/>
                <w:szCs w:val="18"/>
              </w:rPr>
              <w:t>Termly</w:t>
            </w:r>
          </w:p>
          <w:p w:rsidR="009A76C6" w:rsidRDefault="00436128" w:rsidP="00436128">
            <w:r>
              <w:rPr>
                <w:sz w:val="18"/>
                <w:szCs w:val="18"/>
              </w:rPr>
              <w:t>Improvement plans an governors  reports</w:t>
            </w:r>
          </w:p>
        </w:tc>
      </w:tr>
      <w:tr w:rsidR="009A76C6" w:rsidTr="00B244F3">
        <w:trPr>
          <w:trHeight w:val="277"/>
        </w:trPr>
        <w:tc>
          <w:tcPr>
            <w:tcW w:w="12812" w:type="dxa"/>
            <w:gridSpan w:val="5"/>
          </w:tcPr>
          <w:p w:rsidR="009A76C6" w:rsidRPr="00BD6F5E" w:rsidRDefault="009A76C6" w:rsidP="009A76C6">
            <w:pPr>
              <w:jc w:val="right"/>
              <w:rPr>
                <w:b/>
              </w:rPr>
            </w:pPr>
            <w:r w:rsidRPr="00BD6F5E">
              <w:rPr>
                <w:b/>
              </w:rPr>
              <w:t>Total budgeted cost</w:t>
            </w:r>
          </w:p>
        </w:tc>
        <w:tc>
          <w:tcPr>
            <w:tcW w:w="2576" w:type="dxa"/>
          </w:tcPr>
          <w:p w:rsidR="009A76C6" w:rsidRDefault="003374E9" w:rsidP="009A76C6">
            <w:r>
              <w:t>£55,415</w:t>
            </w:r>
          </w:p>
          <w:p w:rsidR="005A1B63" w:rsidRDefault="005A1B63" w:rsidP="009A76C6"/>
        </w:tc>
      </w:tr>
    </w:tbl>
    <w:p w:rsidR="006F771C" w:rsidRDefault="006F771C" w:rsidP="00F80728">
      <w:pPr>
        <w:spacing w:after="0"/>
      </w:pPr>
    </w:p>
    <w:tbl>
      <w:tblPr>
        <w:tblStyle w:val="TableGrid"/>
        <w:tblW w:w="0" w:type="auto"/>
        <w:tblLook w:val="04A0" w:firstRow="1" w:lastRow="0" w:firstColumn="1" w:lastColumn="0" w:noHBand="0" w:noVBand="1"/>
      </w:tblPr>
      <w:tblGrid>
        <w:gridCol w:w="2567"/>
        <w:gridCol w:w="2574"/>
        <w:gridCol w:w="2562"/>
        <w:gridCol w:w="2564"/>
        <w:gridCol w:w="2548"/>
        <w:gridCol w:w="2573"/>
      </w:tblGrid>
      <w:tr w:rsidR="00464718" w:rsidRPr="009F0F8F" w:rsidTr="009A76C6">
        <w:tc>
          <w:tcPr>
            <w:tcW w:w="15388" w:type="dxa"/>
            <w:gridSpan w:val="6"/>
            <w:shd w:val="clear" w:color="auto" w:fill="C6D9F1" w:themeFill="text2" w:themeFillTint="33"/>
          </w:tcPr>
          <w:p w:rsidR="00464718" w:rsidRPr="009F0F8F" w:rsidRDefault="00464718" w:rsidP="00464718">
            <w:pPr>
              <w:pStyle w:val="ListParagraph"/>
              <w:rPr>
                <w:b/>
              </w:rPr>
            </w:pPr>
          </w:p>
        </w:tc>
      </w:tr>
      <w:tr w:rsidR="00464718" w:rsidTr="009A76C6">
        <w:tc>
          <w:tcPr>
            <w:tcW w:w="2567" w:type="dxa"/>
          </w:tcPr>
          <w:p w:rsidR="00464718" w:rsidRPr="009F0F8F" w:rsidRDefault="00464718" w:rsidP="00385D08">
            <w:pPr>
              <w:rPr>
                <w:b/>
              </w:rPr>
            </w:pPr>
            <w:r w:rsidRPr="009F0F8F">
              <w:rPr>
                <w:b/>
              </w:rPr>
              <w:t>Academic year</w:t>
            </w:r>
          </w:p>
        </w:tc>
        <w:tc>
          <w:tcPr>
            <w:tcW w:w="12821" w:type="dxa"/>
            <w:gridSpan w:val="5"/>
          </w:tcPr>
          <w:p w:rsidR="00464718" w:rsidRDefault="00464718" w:rsidP="00385D08"/>
        </w:tc>
      </w:tr>
      <w:tr w:rsidR="00464718" w:rsidTr="009A76C6">
        <w:tc>
          <w:tcPr>
            <w:tcW w:w="15388" w:type="dxa"/>
            <w:gridSpan w:val="6"/>
          </w:tcPr>
          <w:p w:rsidR="00464718" w:rsidRPr="003E68C2" w:rsidRDefault="00464718" w:rsidP="00385D08">
            <w:pPr>
              <w:pStyle w:val="ListParagraph"/>
              <w:numPr>
                <w:ilvl w:val="0"/>
                <w:numId w:val="2"/>
              </w:numPr>
              <w:rPr>
                <w:b/>
              </w:rPr>
            </w:pPr>
            <w:r w:rsidRPr="003E68C2">
              <w:rPr>
                <w:b/>
              </w:rPr>
              <w:t>Targeted support</w:t>
            </w:r>
          </w:p>
        </w:tc>
      </w:tr>
      <w:tr w:rsidR="003E2A4A" w:rsidTr="009A76C6">
        <w:trPr>
          <w:trHeight w:val="279"/>
        </w:trPr>
        <w:tc>
          <w:tcPr>
            <w:tcW w:w="2567" w:type="dxa"/>
          </w:tcPr>
          <w:p w:rsidR="00464718" w:rsidRPr="003E68C2" w:rsidRDefault="00464718" w:rsidP="00385D08">
            <w:pPr>
              <w:rPr>
                <w:b/>
              </w:rPr>
            </w:pPr>
            <w:r w:rsidRPr="003E68C2">
              <w:rPr>
                <w:b/>
              </w:rPr>
              <w:t>Desired outcome</w:t>
            </w:r>
          </w:p>
        </w:tc>
        <w:tc>
          <w:tcPr>
            <w:tcW w:w="2574" w:type="dxa"/>
          </w:tcPr>
          <w:p w:rsidR="00464718" w:rsidRPr="003E68C2" w:rsidRDefault="00464718" w:rsidP="00385D08">
            <w:pPr>
              <w:rPr>
                <w:b/>
              </w:rPr>
            </w:pPr>
            <w:r w:rsidRPr="003E68C2">
              <w:rPr>
                <w:b/>
              </w:rPr>
              <w:t>Chosen action/approach</w:t>
            </w:r>
          </w:p>
        </w:tc>
        <w:tc>
          <w:tcPr>
            <w:tcW w:w="2562" w:type="dxa"/>
          </w:tcPr>
          <w:p w:rsidR="00464718" w:rsidRPr="003E68C2" w:rsidRDefault="00464718" w:rsidP="00385D08">
            <w:pPr>
              <w:rPr>
                <w:b/>
              </w:rPr>
            </w:pPr>
            <w:r w:rsidRPr="003E68C2">
              <w:rPr>
                <w:b/>
              </w:rPr>
              <w:t>What evidence and rationale for this choice?</w:t>
            </w:r>
          </w:p>
        </w:tc>
        <w:tc>
          <w:tcPr>
            <w:tcW w:w="2564" w:type="dxa"/>
          </w:tcPr>
          <w:p w:rsidR="00464718" w:rsidRPr="003E68C2" w:rsidRDefault="00464718" w:rsidP="00385D08">
            <w:pPr>
              <w:rPr>
                <w:b/>
              </w:rPr>
            </w:pPr>
            <w:r w:rsidRPr="003E68C2">
              <w:rPr>
                <w:b/>
              </w:rPr>
              <w:t>How will you ensure it is implemented well?</w:t>
            </w:r>
          </w:p>
        </w:tc>
        <w:tc>
          <w:tcPr>
            <w:tcW w:w="2548" w:type="dxa"/>
          </w:tcPr>
          <w:p w:rsidR="00464718" w:rsidRPr="003E68C2" w:rsidRDefault="00464718" w:rsidP="00385D08">
            <w:pPr>
              <w:rPr>
                <w:b/>
              </w:rPr>
            </w:pPr>
            <w:r w:rsidRPr="003E68C2">
              <w:rPr>
                <w:b/>
              </w:rPr>
              <w:t>Staff lead</w:t>
            </w:r>
          </w:p>
        </w:tc>
        <w:tc>
          <w:tcPr>
            <w:tcW w:w="2573" w:type="dxa"/>
          </w:tcPr>
          <w:p w:rsidR="00464718" w:rsidRPr="003E68C2" w:rsidRDefault="00464718" w:rsidP="00385D08">
            <w:pPr>
              <w:rPr>
                <w:b/>
              </w:rPr>
            </w:pPr>
            <w:r w:rsidRPr="003E68C2">
              <w:rPr>
                <w:b/>
              </w:rPr>
              <w:t xml:space="preserve">When will implementation be reviewed? </w:t>
            </w:r>
          </w:p>
        </w:tc>
      </w:tr>
      <w:tr w:rsidR="009A76C6" w:rsidTr="009A76C6">
        <w:trPr>
          <w:trHeight w:val="277"/>
        </w:trPr>
        <w:tc>
          <w:tcPr>
            <w:tcW w:w="2567" w:type="dxa"/>
          </w:tcPr>
          <w:p w:rsidR="009A76C6" w:rsidRPr="00575180" w:rsidRDefault="009A76C6" w:rsidP="009A76C6">
            <w:pPr>
              <w:rPr>
                <w:sz w:val="20"/>
                <w:szCs w:val="20"/>
              </w:rPr>
            </w:pPr>
            <w:r>
              <w:rPr>
                <w:sz w:val="20"/>
                <w:szCs w:val="20"/>
              </w:rPr>
              <w:t>C. Enhance opportunities to learn outside the classroom and in the wider community</w:t>
            </w:r>
          </w:p>
        </w:tc>
        <w:tc>
          <w:tcPr>
            <w:tcW w:w="2574" w:type="dxa"/>
          </w:tcPr>
          <w:p w:rsidR="009A76C6" w:rsidRDefault="00D717D8" w:rsidP="009A76C6">
            <w:pPr>
              <w:rPr>
                <w:sz w:val="18"/>
                <w:szCs w:val="18"/>
              </w:rPr>
            </w:pPr>
            <w:r>
              <w:rPr>
                <w:sz w:val="18"/>
                <w:szCs w:val="18"/>
              </w:rPr>
              <w:t>Project based approach across different physical locations and also within curriculum review</w:t>
            </w:r>
            <w:r w:rsidR="003374E9">
              <w:rPr>
                <w:sz w:val="18"/>
                <w:szCs w:val="18"/>
              </w:rPr>
              <w:t xml:space="preserve">. </w:t>
            </w:r>
          </w:p>
          <w:p w:rsidR="003374E9" w:rsidRDefault="003374E9" w:rsidP="009A76C6">
            <w:pPr>
              <w:rPr>
                <w:sz w:val="18"/>
                <w:szCs w:val="18"/>
              </w:rPr>
            </w:pPr>
            <w:r>
              <w:rPr>
                <w:sz w:val="18"/>
                <w:szCs w:val="18"/>
              </w:rPr>
              <w:t>Shelters</w:t>
            </w:r>
          </w:p>
          <w:p w:rsidR="003374E9" w:rsidRDefault="003374E9" w:rsidP="009A76C6">
            <w:pPr>
              <w:rPr>
                <w:sz w:val="18"/>
                <w:szCs w:val="18"/>
              </w:rPr>
            </w:pPr>
            <w:r>
              <w:rPr>
                <w:sz w:val="18"/>
                <w:szCs w:val="18"/>
              </w:rPr>
              <w:t>Development of unused space for pupils</w:t>
            </w:r>
          </w:p>
          <w:p w:rsidR="003374E9" w:rsidRPr="00593FF9" w:rsidRDefault="003374E9" w:rsidP="009A76C6">
            <w:pPr>
              <w:rPr>
                <w:sz w:val="18"/>
                <w:szCs w:val="18"/>
              </w:rPr>
            </w:pPr>
            <w:r>
              <w:rPr>
                <w:sz w:val="18"/>
                <w:szCs w:val="18"/>
              </w:rPr>
              <w:lastRenderedPageBreak/>
              <w:t>Development of horticultural learning.</w:t>
            </w:r>
          </w:p>
        </w:tc>
        <w:tc>
          <w:tcPr>
            <w:tcW w:w="2562" w:type="dxa"/>
          </w:tcPr>
          <w:p w:rsidR="00D717D8" w:rsidRDefault="00D717D8" w:rsidP="009A76C6">
            <w:pPr>
              <w:rPr>
                <w:sz w:val="18"/>
                <w:szCs w:val="18"/>
              </w:rPr>
            </w:pPr>
            <w:r>
              <w:rPr>
                <w:sz w:val="18"/>
                <w:szCs w:val="18"/>
              </w:rPr>
              <w:lastRenderedPageBreak/>
              <w:t>Improved wellbeing</w:t>
            </w:r>
          </w:p>
          <w:p w:rsidR="009A76C6" w:rsidRDefault="00D717D8" w:rsidP="009A76C6">
            <w:pPr>
              <w:rPr>
                <w:sz w:val="18"/>
                <w:szCs w:val="18"/>
              </w:rPr>
            </w:pPr>
            <w:r>
              <w:rPr>
                <w:sz w:val="18"/>
                <w:szCs w:val="18"/>
              </w:rPr>
              <w:t>Improved physical and mental health.</w:t>
            </w:r>
            <w:r>
              <w:rPr>
                <w:sz w:val="18"/>
                <w:szCs w:val="18"/>
              </w:rPr>
              <w:br/>
              <w:t>Acquisition of skills for life</w:t>
            </w:r>
          </w:p>
          <w:p w:rsidR="00D717D8" w:rsidRDefault="00D717D8" w:rsidP="009A76C6">
            <w:pPr>
              <w:rPr>
                <w:sz w:val="18"/>
                <w:szCs w:val="18"/>
              </w:rPr>
            </w:pPr>
          </w:p>
          <w:p w:rsidR="00D717D8" w:rsidRPr="006B7CCB" w:rsidRDefault="00D717D8" w:rsidP="009A76C6">
            <w:pPr>
              <w:rPr>
                <w:sz w:val="18"/>
                <w:szCs w:val="18"/>
              </w:rPr>
            </w:pPr>
          </w:p>
        </w:tc>
        <w:tc>
          <w:tcPr>
            <w:tcW w:w="2564" w:type="dxa"/>
          </w:tcPr>
          <w:p w:rsidR="009A76C6" w:rsidRDefault="00D717D8" w:rsidP="00D717D8">
            <w:pPr>
              <w:rPr>
                <w:sz w:val="18"/>
                <w:szCs w:val="18"/>
              </w:rPr>
            </w:pPr>
            <w:r>
              <w:rPr>
                <w:sz w:val="18"/>
                <w:szCs w:val="18"/>
              </w:rPr>
              <w:t>School improvement plans in all phases.</w:t>
            </w:r>
          </w:p>
          <w:p w:rsidR="00D717D8" w:rsidRDefault="00D717D8" w:rsidP="00D717D8">
            <w:pPr>
              <w:rPr>
                <w:sz w:val="18"/>
                <w:szCs w:val="18"/>
              </w:rPr>
            </w:pPr>
            <w:r>
              <w:rPr>
                <w:sz w:val="18"/>
                <w:szCs w:val="18"/>
              </w:rPr>
              <w:t>Specific action plans for LOTC</w:t>
            </w:r>
          </w:p>
          <w:p w:rsidR="00D717D8" w:rsidRPr="009F0F8F" w:rsidRDefault="00D717D8" w:rsidP="00D717D8">
            <w:pPr>
              <w:rPr>
                <w:sz w:val="18"/>
                <w:szCs w:val="18"/>
              </w:rPr>
            </w:pPr>
            <w:r>
              <w:rPr>
                <w:sz w:val="18"/>
                <w:szCs w:val="18"/>
              </w:rPr>
              <w:t>Children and young people to be actively involved in the development of projects.</w:t>
            </w:r>
          </w:p>
        </w:tc>
        <w:tc>
          <w:tcPr>
            <w:tcW w:w="2548" w:type="dxa"/>
          </w:tcPr>
          <w:p w:rsidR="009A76C6" w:rsidRDefault="00D717D8" w:rsidP="009A76C6">
            <w:pPr>
              <w:rPr>
                <w:sz w:val="18"/>
                <w:szCs w:val="18"/>
              </w:rPr>
            </w:pPr>
            <w:r>
              <w:rPr>
                <w:sz w:val="18"/>
                <w:szCs w:val="18"/>
              </w:rPr>
              <w:t>SLT and phase leaders</w:t>
            </w:r>
          </w:p>
          <w:p w:rsidR="00D717D8" w:rsidRDefault="00D717D8" w:rsidP="009A76C6">
            <w:pPr>
              <w:rPr>
                <w:sz w:val="18"/>
                <w:szCs w:val="18"/>
              </w:rPr>
            </w:pPr>
            <w:r>
              <w:rPr>
                <w:sz w:val="18"/>
                <w:szCs w:val="18"/>
              </w:rPr>
              <w:t>Senior teachers and relevant working parties, including children and young people</w:t>
            </w:r>
          </w:p>
          <w:p w:rsidR="009A76C6" w:rsidRPr="008467E3" w:rsidRDefault="009A76C6" w:rsidP="009A76C6">
            <w:pPr>
              <w:rPr>
                <w:sz w:val="18"/>
                <w:szCs w:val="18"/>
              </w:rPr>
            </w:pPr>
          </w:p>
        </w:tc>
        <w:tc>
          <w:tcPr>
            <w:tcW w:w="2573" w:type="dxa"/>
          </w:tcPr>
          <w:p w:rsidR="009A76C6" w:rsidRPr="007908B4" w:rsidRDefault="00D717D8" w:rsidP="009A76C6">
            <w:pPr>
              <w:rPr>
                <w:sz w:val="18"/>
                <w:szCs w:val="18"/>
              </w:rPr>
            </w:pPr>
            <w:r>
              <w:rPr>
                <w:sz w:val="18"/>
                <w:szCs w:val="18"/>
              </w:rPr>
              <w:t>Termly</w:t>
            </w:r>
            <w:r w:rsidR="009A76C6">
              <w:rPr>
                <w:sz w:val="18"/>
                <w:szCs w:val="18"/>
              </w:rPr>
              <w:t xml:space="preserve"> </w:t>
            </w:r>
          </w:p>
        </w:tc>
      </w:tr>
      <w:tr w:rsidR="009A76C6" w:rsidTr="009A76C6">
        <w:trPr>
          <w:trHeight w:val="277"/>
        </w:trPr>
        <w:tc>
          <w:tcPr>
            <w:tcW w:w="2567" w:type="dxa"/>
          </w:tcPr>
          <w:p w:rsidR="009A76C6" w:rsidRPr="00575180" w:rsidRDefault="009A76C6" w:rsidP="009A76C6">
            <w:pPr>
              <w:rPr>
                <w:sz w:val="20"/>
                <w:szCs w:val="20"/>
              </w:rPr>
            </w:pPr>
            <w:r>
              <w:rPr>
                <w:sz w:val="20"/>
                <w:szCs w:val="20"/>
              </w:rPr>
              <w:lastRenderedPageBreak/>
              <w:t>D. Attendance levels are maintained (Improved for PP children). Fixed term exclusions decrease.</w:t>
            </w:r>
          </w:p>
        </w:tc>
        <w:tc>
          <w:tcPr>
            <w:tcW w:w="2574" w:type="dxa"/>
          </w:tcPr>
          <w:p w:rsidR="00D717D8" w:rsidRDefault="009A76C6" w:rsidP="009A76C6">
            <w:pPr>
              <w:rPr>
                <w:sz w:val="18"/>
                <w:szCs w:val="18"/>
              </w:rPr>
            </w:pPr>
            <w:r>
              <w:rPr>
                <w:sz w:val="18"/>
                <w:szCs w:val="18"/>
              </w:rPr>
              <w:t xml:space="preserve">Monitoring attendance figures. Liaison with parents of students </w:t>
            </w:r>
            <w:r w:rsidRPr="000F0C5C">
              <w:rPr>
                <w:sz w:val="18"/>
                <w:szCs w:val="18"/>
              </w:rPr>
              <w:t xml:space="preserve">who </w:t>
            </w:r>
            <w:r>
              <w:rPr>
                <w:sz w:val="18"/>
                <w:szCs w:val="18"/>
              </w:rPr>
              <w:t xml:space="preserve">fall between </w:t>
            </w:r>
            <w:r w:rsidRPr="000F0C5C">
              <w:rPr>
                <w:sz w:val="18"/>
                <w:szCs w:val="18"/>
              </w:rPr>
              <w:t>90</w:t>
            </w:r>
            <w:r>
              <w:rPr>
                <w:sz w:val="18"/>
                <w:szCs w:val="18"/>
              </w:rPr>
              <w:t xml:space="preserve">-95% </w:t>
            </w:r>
          </w:p>
          <w:p w:rsidR="009A76C6" w:rsidRDefault="00D717D8" w:rsidP="009A76C6">
            <w:pPr>
              <w:rPr>
                <w:sz w:val="18"/>
                <w:szCs w:val="18"/>
              </w:rPr>
            </w:pPr>
            <w:r>
              <w:rPr>
                <w:sz w:val="18"/>
                <w:szCs w:val="18"/>
              </w:rPr>
              <w:t xml:space="preserve">Robust monitoring of systems and </w:t>
            </w:r>
            <w:r w:rsidR="009A76C6">
              <w:rPr>
                <w:sz w:val="18"/>
                <w:szCs w:val="18"/>
              </w:rPr>
              <w:t>procedures.</w:t>
            </w:r>
          </w:p>
          <w:p w:rsidR="009A76C6" w:rsidRDefault="009A76C6" w:rsidP="009A76C6">
            <w:pPr>
              <w:rPr>
                <w:sz w:val="18"/>
                <w:szCs w:val="18"/>
              </w:rPr>
            </w:pPr>
            <w:r>
              <w:rPr>
                <w:sz w:val="18"/>
                <w:szCs w:val="18"/>
              </w:rPr>
              <w:t xml:space="preserve">Involve EWO/Attendance Advisory for children falling at </w:t>
            </w:r>
            <w:r w:rsidRPr="000F0C5C">
              <w:rPr>
                <w:sz w:val="18"/>
                <w:szCs w:val="18"/>
              </w:rPr>
              <w:t xml:space="preserve">or below </w:t>
            </w:r>
            <w:r>
              <w:rPr>
                <w:sz w:val="18"/>
                <w:szCs w:val="18"/>
              </w:rPr>
              <w:t>90</w:t>
            </w:r>
            <w:r w:rsidRPr="000F0C5C">
              <w:rPr>
                <w:sz w:val="18"/>
                <w:szCs w:val="18"/>
              </w:rPr>
              <w:t>%</w:t>
            </w:r>
            <w:r>
              <w:rPr>
                <w:sz w:val="18"/>
                <w:szCs w:val="18"/>
              </w:rPr>
              <w:t xml:space="preserve">.  Fast track systems in place.  </w:t>
            </w:r>
          </w:p>
          <w:p w:rsidR="009A76C6" w:rsidRDefault="009A76C6" w:rsidP="009A76C6">
            <w:pPr>
              <w:rPr>
                <w:sz w:val="18"/>
                <w:szCs w:val="18"/>
              </w:rPr>
            </w:pPr>
            <w:r>
              <w:rPr>
                <w:sz w:val="18"/>
                <w:szCs w:val="18"/>
              </w:rPr>
              <w:t xml:space="preserve">Attendance procedures robust </w:t>
            </w:r>
          </w:p>
          <w:p w:rsidR="0093559A" w:rsidRPr="00593FF9" w:rsidRDefault="0093559A" w:rsidP="009A76C6">
            <w:pPr>
              <w:rPr>
                <w:sz w:val="18"/>
                <w:szCs w:val="18"/>
              </w:rPr>
            </w:pPr>
            <w:r>
              <w:rPr>
                <w:sz w:val="18"/>
                <w:szCs w:val="18"/>
              </w:rPr>
              <w:t>Additional support bought in through SEMH experts to support develop</w:t>
            </w:r>
            <w:r w:rsidR="00D717D8">
              <w:rPr>
                <w:sz w:val="18"/>
                <w:szCs w:val="18"/>
              </w:rPr>
              <w:t xml:space="preserve">ment </w:t>
            </w:r>
            <w:proofErr w:type="spellStart"/>
            <w:r w:rsidR="00D717D8">
              <w:rPr>
                <w:sz w:val="18"/>
                <w:szCs w:val="18"/>
              </w:rPr>
              <w:t>fo</w:t>
            </w:r>
            <w:proofErr w:type="spellEnd"/>
            <w:r w:rsidR="00D717D8">
              <w:rPr>
                <w:sz w:val="18"/>
                <w:szCs w:val="18"/>
              </w:rPr>
              <w:t xml:space="preserve"> strategies , skills and </w:t>
            </w:r>
            <w:r>
              <w:rPr>
                <w:sz w:val="18"/>
                <w:szCs w:val="18"/>
              </w:rPr>
              <w:t xml:space="preserve">understanding to promote </w:t>
            </w:r>
            <w:r w:rsidR="00D717D8">
              <w:rPr>
                <w:sz w:val="18"/>
                <w:szCs w:val="18"/>
              </w:rPr>
              <w:t>behaviour</w:t>
            </w:r>
            <w:r>
              <w:rPr>
                <w:sz w:val="18"/>
                <w:szCs w:val="18"/>
              </w:rPr>
              <w:t xml:space="preserve"> for learning </w:t>
            </w:r>
          </w:p>
        </w:tc>
        <w:tc>
          <w:tcPr>
            <w:tcW w:w="2562" w:type="dxa"/>
          </w:tcPr>
          <w:p w:rsidR="009A76C6" w:rsidRDefault="00066E59" w:rsidP="009A76C6">
            <w:pPr>
              <w:rPr>
                <w:sz w:val="18"/>
                <w:szCs w:val="18"/>
              </w:rPr>
            </w:pPr>
            <w:r w:rsidRPr="00066E59">
              <w:rPr>
                <w:sz w:val="18"/>
                <w:szCs w:val="18"/>
              </w:rPr>
              <w:t>Gap between pp and non-PP pupils has widened by 0.8% over 2 years.</w:t>
            </w:r>
          </w:p>
          <w:p w:rsidR="00066E59" w:rsidRPr="00066E59" w:rsidRDefault="00066E59" w:rsidP="009A76C6">
            <w:pPr>
              <w:rPr>
                <w:sz w:val="18"/>
                <w:szCs w:val="18"/>
              </w:rPr>
            </w:pPr>
            <w:r>
              <w:rPr>
                <w:sz w:val="18"/>
                <w:szCs w:val="18"/>
              </w:rPr>
              <w:t xml:space="preserve">MLD cohort declining due to changing cohort and designation of school and also where more high profile challenging behaviour is </w:t>
            </w:r>
          </w:p>
          <w:p w:rsidR="009A76C6" w:rsidRDefault="009A76C6" w:rsidP="009A76C6">
            <w:pPr>
              <w:rPr>
                <w:sz w:val="18"/>
                <w:szCs w:val="18"/>
              </w:rPr>
            </w:pPr>
            <w:r>
              <w:rPr>
                <w:sz w:val="18"/>
                <w:szCs w:val="18"/>
              </w:rPr>
              <w:t xml:space="preserve"> </w:t>
            </w:r>
          </w:p>
        </w:tc>
        <w:tc>
          <w:tcPr>
            <w:tcW w:w="2564" w:type="dxa"/>
          </w:tcPr>
          <w:p w:rsidR="00066E59" w:rsidRDefault="009A76C6" w:rsidP="009A76C6">
            <w:pPr>
              <w:rPr>
                <w:sz w:val="18"/>
                <w:szCs w:val="18"/>
              </w:rPr>
            </w:pPr>
            <w:r>
              <w:rPr>
                <w:sz w:val="18"/>
                <w:szCs w:val="18"/>
              </w:rPr>
              <w:t xml:space="preserve">Allocated </w:t>
            </w:r>
            <w:r w:rsidR="00066E59">
              <w:rPr>
                <w:sz w:val="18"/>
                <w:szCs w:val="18"/>
              </w:rPr>
              <w:t>s</w:t>
            </w:r>
            <w:r>
              <w:rPr>
                <w:sz w:val="18"/>
                <w:szCs w:val="18"/>
              </w:rPr>
              <w:t>taff to record and monitor attendance alongside DSL team</w:t>
            </w:r>
            <w:r w:rsidR="00066E59">
              <w:rPr>
                <w:sz w:val="18"/>
                <w:szCs w:val="18"/>
              </w:rPr>
              <w:t>.</w:t>
            </w:r>
          </w:p>
          <w:p w:rsidR="00066E59" w:rsidRDefault="00066E59" w:rsidP="009A76C6">
            <w:pPr>
              <w:rPr>
                <w:sz w:val="18"/>
                <w:szCs w:val="18"/>
              </w:rPr>
            </w:pPr>
            <w:r>
              <w:rPr>
                <w:sz w:val="18"/>
                <w:szCs w:val="18"/>
              </w:rPr>
              <w:t xml:space="preserve">Safeguarding officer </w:t>
            </w:r>
            <w:r w:rsidR="00D717D8">
              <w:rPr>
                <w:sz w:val="18"/>
                <w:szCs w:val="18"/>
              </w:rPr>
              <w:t>liaises</w:t>
            </w:r>
            <w:r>
              <w:rPr>
                <w:sz w:val="18"/>
                <w:szCs w:val="18"/>
              </w:rPr>
              <w:t xml:space="preserve"> with EWO to action and address persistent absenteeism</w:t>
            </w:r>
            <w:r w:rsidR="009A76C6" w:rsidRPr="005524F5">
              <w:rPr>
                <w:sz w:val="18"/>
                <w:szCs w:val="18"/>
              </w:rPr>
              <w:t>.</w:t>
            </w:r>
          </w:p>
          <w:p w:rsidR="009A76C6" w:rsidRPr="005524F5" w:rsidRDefault="009A76C6" w:rsidP="00066E59">
            <w:pPr>
              <w:rPr>
                <w:sz w:val="18"/>
                <w:szCs w:val="18"/>
              </w:rPr>
            </w:pPr>
            <w:r w:rsidRPr="005524F5">
              <w:rPr>
                <w:sz w:val="18"/>
                <w:szCs w:val="18"/>
              </w:rPr>
              <w:t xml:space="preserve"> </w:t>
            </w:r>
            <w:r>
              <w:rPr>
                <w:sz w:val="18"/>
                <w:szCs w:val="18"/>
              </w:rPr>
              <w:t xml:space="preserve">Regular contact with parents when needed. Meetings held to discuss any issues or support that parents may need. Make appropriate referrals where necessary to relevant agencies to support families. </w:t>
            </w:r>
          </w:p>
        </w:tc>
        <w:tc>
          <w:tcPr>
            <w:tcW w:w="2548" w:type="dxa"/>
          </w:tcPr>
          <w:p w:rsidR="009A76C6" w:rsidRDefault="009A76C6" w:rsidP="009A76C6">
            <w:pPr>
              <w:rPr>
                <w:sz w:val="18"/>
                <w:szCs w:val="18"/>
              </w:rPr>
            </w:pPr>
            <w:r>
              <w:rPr>
                <w:sz w:val="18"/>
                <w:szCs w:val="18"/>
              </w:rPr>
              <w:t>Head of School</w:t>
            </w:r>
          </w:p>
          <w:p w:rsidR="0093559A" w:rsidRDefault="0093559A" w:rsidP="009A76C6">
            <w:pPr>
              <w:rPr>
                <w:sz w:val="18"/>
                <w:szCs w:val="18"/>
              </w:rPr>
            </w:pPr>
            <w:r>
              <w:rPr>
                <w:sz w:val="18"/>
                <w:szCs w:val="18"/>
              </w:rPr>
              <w:t>DHT pastoral</w:t>
            </w:r>
          </w:p>
          <w:p w:rsidR="0093559A" w:rsidRDefault="0093559A" w:rsidP="009A76C6">
            <w:pPr>
              <w:rPr>
                <w:sz w:val="18"/>
                <w:szCs w:val="18"/>
              </w:rPr>
            </w:pPr>
            <w:r>
              <w:rPr>
                <w:sz w:val="18"/>
                <w:szCs w:val="18"/>
              </w:rPr>
              <w:t>DSL team</w:t>
            </w:r>
          </w:p>
          <w:p w:rsidR="00066E59" w:rsidRDefault="00066E59" w:rsidP="009A76C6">
            <w:pPr>
              <w:rPr>
                <w:sz w:val="18"/>
                <w:szCs w:val="18"/>
              </w:rPr>
            </w:pPr>
            <w:r>
              <w:rPr>
                <w:sz w:val="18"/>
                <w:szCs w:val="18"/>
              </w:rPr>
              <w:t>Admin team</w:t>
            </w:r>
          </w:p>
          <w:p w:rsidR="009A76C6" w:rsidRPr="008467E3" w:rsidRDefault="009A76C6" w:rsidP="009A76C6">
            <w:pPr>
              <w:rPr>
                <w:sz w:val="18"/>
                <w:szCs w:val="18"/>
              </w:rPr>
            </w:pPr>
          </w:p>
        </w:tc>
        <w:tc>
          <w:tcPr>
            <w:tcW w:w="2573" w:type="dxa"/>
          </w:tcPr>
          <w:p w:rsidR="009A76C6" w:rsidRPr="00DA70EB" w:rsidRDefault="00D717D8" w:rsidP="009A76C6">
            <w:pPr>
              <w:rPr>
                <w:sz w:val="18"/>
                <w:szCs w:val="18"/>
              </w:rPr>
            </w:pPr>
            <w:r>
              <w:rPr>
                <w:sz w:val="18"/>
                <w:szCs w:val="18"/>
              </w:rPr>
              <w:t>H</w:t>
            </w:r>
            <w:r w:rsidR="0093559A">
              <w:rPr>
                <w:sz w:val="18"/>
                <w:szCs w:val="18"/>
              </w:rPr>
              <w:t>alf-</w:t>
            </w:r>
            <w:r w:rsidR="009A76C6" w:rsidRPr="003B7619">
              <w:rPr>
                <w:sz w:val="18"/>
                <w:szCs w:val="18"/>
              </w:rPr>
              <w:t xml:space="preserve"> termly monitoring</w:t>
            </w:r>
            <w:r>
              <w:rPr>
                <w:sz w:val="18"/>
                <w:szCs w:val="18"/>
              </w:rPr>
              <w:t xml:space="preserve"> of regular attendance. Daily and weekly monitoring of high profile cases.</w:t>
            </w:r>
          </w:p>
        </w:tc>
      </w:tr>
      <w:tr w:rsidR="009A76C6" w:rsidTr="009A76C6">
        <w:trPr>
          <w:trHeight w:val="277"/>
        </w:trPr>
        <w:tc>
          <w:tcPr>
            <w:tcW w:w="12815" w:type="dxa"/>
            <w:gridSpan w:val="5"/>
          </w:tcPr>
          <w:p w:rsidR="009A76C6" w:rsidRPr="00BD6F5E" w:rsidRDefault="009A76C6" w:rsidP="009A76C6">
            <w:pPr>
              <w:jc w:val="right"/>
              <w:rPr>
                <w:b/>
              </w:rPr>
            </w:pPr>
            <w:r w:rsidRPr="00BD6F5E">
              <w:rPr>
                <w:b/>
              </w:rPr>
              <w:t>Total budgeted cost</w:t>
            </w:r>
          </w:p>
        </w:tc>
        <w:tc>
          <w:tcPr>
            <w:tcW w:w="2573" w:type="dxa"/>
          </w:tcPr>
          <w:p w:rsidR="009A76C6" w:rsidRDefault="005A1B63" w:rsidP="009A76C6">
            <w:r>
              <w:t>SEMH specialist team £1800</w:t>
            </w:r>
          </w:p>
          <w:p w:rsidR="005A1B63" w:rsidRDefault="003374E9" w:rsidP="009A76C6">
            <w:r>
              <w:t>Outdoor learning £15,000</w:t>
            </w:r>
          </w:p>
        </w:tc>
      </w:tr>
    </w:tbl>
    <w:p w:rsidR="00464718" w:rsidRDefault="00464718" w:rsidP="00F80728">
      <w:pPr>
        <w:spacing w:after="0"/>
      </w:pPr>
    </w:p>
    <w:tbl>
      <w:tblPr>
        <w:tblStyle w:val="TableGrid"/>
        <w:tblW w:w="0" w:type="auto"/>
        <w:tblLook w:val="04A0" w:firstRow="1" w:lastRow="0" w:firstColumn="1" w:lastColumn="0" w:noHBand="0" w:noVBand="1"/>
      </w:tblPr>
      <w:tblGrid>
        <w:gridCol w:w="1474"/>
        <w:gridCol w:w="6658"/>
        <w:gridCol w:w="6661"/>
      </w:tblGrid>
      <w:tr w:rsidR="00036C54" w:rsidTr="00984A02">
        <w:trPr>
          <w:trHeight w:val="241"/>
        </w:trPr>
        <w:tc>
          <w:tcPr>
            <w:tcW w:w="14793" w:type="dxa"/>
            <w:gridSpan w:val="3"/>
            <w:shd w:val="clear" w:color="auto" w:fill="C6D9F1" w:themeFill="text2" w:themeFillTint="33"/>
          </w:tcPr>
          <w:p w:rsidR="00036C54" w:rsidRPr="00D567E1" w:rsidRDefault="00036C54" w:rsidP="00984A02">
            <w:pPr>
              <w:rPr>
                <w:b/>
              </w:rPr>
            </w:pPr>
            <w:r>
              <w:rPr>
                <w:b/>
              </w:rPr>
              <w:t>18-19 In school focus and review October 2019</w:t>
            </w:r>
          </w:p>
        </w:tc>
      </w:tr>
      <w:tr w:rsidR="00036C54" w:rsidTr="00984A02">
        <w:trPr>
          <w:trHeight w:val="241"/>
        </w:trPr>
        <w:tc>
          <w:tcPr>
            <w:tcW w:w="1474" w:type="dxa"/>
          </w:tcPr>
          <w:p w:rsidR="00036C54" w:rsidRPr="009F0F8F" w:rsidRDefault="00036C54" w:rsidP="00984A02">
            <w:r w:rsidRPr="009F0F8F">
              <w:t>A.</w:t>
            </w:r>
          </w:p>
        </w:tc>
        <w:tc>
          <w:tcPr>
            <w:tcW w:w="13319" w:type="dxa"/>
            <w:gridSpan w:val="2"/>
          </w:tcPr>
          <w:p w:rsidR="00036C54" w:rsidRPr="00575180" w:rsidRDefault="00036C54" w:rsidP="008A10D4">
            <w:pPr>
              <w:rPr>
                <w:sz w:val="20"/>
                <w:szCs w:val="20"/>
              </w:rPr>
            </w:pPr>
            <w:r>
              <w:rPr>
                <w:sz w:val="20"/>
                <w:szCs w:val="20"/>
              </w:rPr>
              <w:t>Personalisation of learning to encompass both academic and holistic learning.</w:t>
            </w:r>
          </w:p>
        </w:tc>
      </w:tr>
      <w:tr w:rsidR="00036C54" w:rsidTr="00984A02">
        <w:trPr>
          <w:trHeight w:val="450"/>
        </w:trPr>
        <w:tc>
          <w:tcPr>
            <w:tcW w:w="1474" w:type="dxa"/>
          </w:tcPr>
          <w:p w:rsidR="00036C54" w:rsidRPr="009F0F8F" w:rsidRDefault="00036C54" w:rsidP="00984A02">
            <w:r w:rsidRPr="009F0F8F">
              <w:t>B.</w:t>
            </w:r>
          </w:p>
        </w:tc>
        <w:tc>
          <w:tcPr>
            <w:tcW w:w="13319" w:type="dxa"/>
            <w:gridSpan w:val="2"/>
          </w:tcPr>
          <w:p w:rsidR="00036C54" w:rsidRPr="00575180" w:rsidRDefault="00036C54" w:rsidP="00984A02">
            <w:pPr>
              <w:rPr>
                <w:sz w:val="20"/>
                <w:szCs w:val="20"/>
              </w:rPr>
            </w:pPr>
            <w:r>
              <w:rPr>
                <w:sz w:val="20"/>
                <w:szCs w:val="20"/>
              </w:rPr>
              <w:t>Consistency of teaching and learning: use of assessment information to ensure that teachers constantly adapt to the needs of all learners.</w:t>
            </w:r>
          </w:p>
        </w:tc>
      </w:tr>
      <w:tr w:rsidR="00036C54" w:rsidTr="00984A02">
        <w:trPr>
          <w:trHeight w:val="241"/>
        </w:trPr>
        <w:tc>
          <w:tcPr>
            <w:tcW w:w="1474" w:type="dxa"/>
          </w:tcPr>
          <w:p w:rsidR="00036C54" w:rsidRPr="009F0F8F" w:rsidRDefault="00036C54" w:rsidP="00984A02">
            <w:r w:rsidRPr="009F0F8F">
              <w:t>C.</w:t>
            </w:r>
          </w:p>
        </w:tc>
        <w:tc>
          <w:tcPr>
            <w:tcW w:w="13319" w:type="dxa"/>
            <w:gridSpan w:val="2"/>
          </w:tcPr>
          <w:p w:rsidR="00036C54" w:rsidRPr="00575180" w:rsidRDefault="00036C54" w:rsidP="00984A02">
            <w:pPr>
              <w:rPr>
                <w:sz w:val="20"/>
                <w:szCs w:val="20"/>
              </w:rPr>
            </w:pPr>
            <w:r>
              <w:rPr>
                <w:sz w:val="20"/>
                <w:szCs w:val="20"/>
              </w:rPr>
              <w:t>Communication, s</w:t>
            </w:r>
            <w:r w:rsidRPr="00575180">
              <w:rPr>
                <w:sz w:val="20"/>
                <w:szCs w:val="20"/>
              </w:rPr>
              <w:t>ocial</w:t>
            </w:r>
            <w:r>
              <w:rPr>
                <w:sz w:val="20"/>
                <w:szCs w:val="20"/>
              </w:rPr>
              <w:t xml:space="preserve"> and </w:t>
            </w:r>
            <w:r w:rsidRPr="00575180">
              <w:rPr>
                <w:sz w:val="20"/>
                <w:szCs w:val="20"/>
              </w:rPr>
              <w:t xml:space="preserve">emotional </w:t>
            </w:r>
            <w:r>
              <w:rPr>
                <w:sz w:val="20"/>
                <w:szCs w:val="20"/>
              </w:rPr>
              <w:t>needs</w:t>
            </w:r>
            <w:r w:rsidRPr="00575180">
              <w:rPr>
                <w:sz w:val="20"/>
                <w:szCs w:val="20"/>
              </w:rPr>
              <w:t xml:space="preserve"> </w:t>
            </w:r>
            <w:r>
              <w:rPr>
                <w:sz w:val="20"/>
                <w:szCs w:val="20"/>
              </w:rPr>
              <w:t>affecting wellbeing and outcomes</w:t>
            </w:r>
          </w:p>
        </w:tc>
      </w:tr>
      <w:tr w:rsidR="00036C54" w:rsidTr="00984A02">
        <w:trPr>
          <w:trHeight w:val="241"/>
        </w:trPr>
        <w:tc>
          <w:tcPr>
            <w:tcW w:w="1474" w:type="dxa"/>
          </w:tcPr>
          <w:p w:rsidR="00036C54" w:rsidRPr="009F0F8F" w:rsidRDefault="00036C54" w:rsidP="00984A02">
            <w:r w:rsidRPr="009F0F8F">
              <w:t xml:space="preserve">D. </w:t>
            </w:r>
          </w:p>
        </w:tc>
        <w:tc>
          <w:tcPr>
            <w:tcW w:w="13319" w:type="dxa"/>
            <w:gridSpan w:val="2"/>
          </w:tcPr>
          <w:p w:rsidR="00036C54" w:rsidRPr="00575180" w:rsidRDefault="00036C54" w:rsidP="00984A02">
            <w:pPr>
              <w:rPr>
                <w:sz w:val="20"/>
                <w:szCs w:val="20"/>
              </w:rPr>
            </w:pPr>
            <w:r>
              <w:rPr>
                <w:sz w:val="20"/>
                <w:szCs w:val="20"/>
              </w:rPr>
              <w:t xml:space="preserve">Absence and persistent absence </w:t>
            </w:r>
          </w:p>
        </w:tc>
      </w:tr>
      <w:tr w:rsidR="00036C54" w:rsidTr="00984A02">
        <w:trPr>
          <w:trHeight w:val="252"/>
        </w:trPr>
        <w:tc>
          <w:tcPr>
            <w:tcW w:w="1474" w:type="dxa"/>
          </w:tcPr>
          <w:p w:rsidR="00036C54" w:rsidRPr="009F0F8F" w:rsidRDefault="00036C54" w:rsidP="00984A02">
            <w:r w:rsidRPr="009F0F8F">
              <w:t>E.</w:t>
            </w:r>
          </w:p>
        </w:tc>
        <w:tc>
          <w:tcPr>
            <w:tcW w:w="13319" w:type="dxa"/>
            <w:gridSpan w:val="2"/>
          </w:tcPr>
          <w:p w:rsidR="00036C54" w:rsidRPr="00575180" w:rsidRDefault="00036C54" w:rsidP="00984A02">
            <w:pPr>
              <w:rPr>
                <w:sz w:val="20"/>
                <w:szCs w:val="20"/>
              </w:rPr>
            </w:pPr>
            <w:r>
              <w:rPr>
                <w:sz w:val="20"/>
                <w:szCs w:val="20"/>
              </w:rPr>
              <w:t>Parental support for children</w:t>
            </w:r>
            <w:r w:rsidRPr="00575180">
              <w:rPr>
                <w:sz w:val="20"/>
                <w:szCs w:val="20"/>
              </w:rPr>
              <w:t>’s</w:t>
            </w:r>
            <w:r>
              <w:rPr>
                <w:sz w:val="20"/>
                <w:szCs w:val="20"/>
              </w:rPr>
              <w:t>’</w:t>
            </w:r>
            <w:r w:rsidRPr="00575180">
              <w:rPr>
                <w:sz w:val="20"/>
                <w:szCs w:val="20"/>
              </w:rPr>
              <w:t xml:space="preserve"> learning</w:t>
            </w:r>
          </w:p>
        </w:tc>
      </w:tr>
      <w:tr w:rsidR="00036C54" w:rsidTr="00984A02">
        <w:trPr>
          <w:trHeight w:val="241"/>
        </w:trPr>
        <w:tc>
          <w:tcPr>
            <w:tcW w:w="1474" w:type="dxa"/>
          </w:tcPr>
          <w:p w:rsidR="00036C54" w:rsidRDefault="00036C54" w:rsidP="00984A02"/>
        </w:tc>
        <w:tc>
          <w:tcPr>
            <w:tcW w:w="6658" w:type="dxa"/>
          </w:tcPr>
          <w:p w:rsidR="00036C54" w:rsidRPr="009F0F8F" w:rsidRDefault="00036C54" w:rsidP="00984A02">
            <w:pPr>
              <w:rPr>
                <w:b/>
                <w:i/>
              </w:rPr>
            </w:pPr>
            <w:r>
              <w:rPr>
                <w:b/>
                <w:i/>
              </w:rPr>
              <w:t xml:space="preserve">Proposed </w:t>
            </w:r>
            <w:r w:rsidRPr="009F0F8F">
              <w:rPr>
                <w:b/>
                <w:i/>
              </w:rPr>
              <w:t xml:space="preserve"> outcomes </w:t>
            </w:r>
            <w:r>
              <w:rPr>
                <w:b/>
                <w:i/>
              </w:rPr>
              <w:t>18-19</w:t>
            </w:r>
          </w:p>
        </w:tc>
        <w:tc>
          <w:tcPr>
            <w:tcW w:w="6661" w:type="dxa"/>
          </w:tcPr>
          <w:p w:rsidR="00036C54" w:rsidRPr="009F0F8F" w:rsidRDefault="00036C54" w:rsidP="00984A02">
            <w:pPr>
              <w:rPr>
                <w:b/>
                <w:i/>
              </w:rPr>
            </w:pPr>
            <w:r w:rsidRPr="009F0F8F">
              <w:rPr>
                <w:b/>
                <w:i/>
              </w:rPr>
              <w:t>Success criteria</w:t>
            </w:r>
            <w:r>
              <w:rPr>
                <w:b/>
                <w:i/>
              </w:rPr>
              <w:t xml:space="preserve"> 18-19</w:t>
            </w:r>
          </w:p>
        </w:tc>
      </w:tr>
      <w:tr w:rsidR="00036C54" w:rsidTr="00984A02">
        <w:trPr>
          <w:trHeight w:val="1109"/>
        </w:trPr>
        <w:tc>
          <w:tcPr>
            <w:tcW w:w="1474" w:type="dxa"/>
          </w:tcPr>
          <w:p w:rsidR="00036C54" w:rsidRPr="009F0F8F" w:rsidRDefault="00036C54" w:rsidP="00984A02">
            <w:r w:rsidRPr="009F0F8F">
              <w:t>A.</w:t>
            </w:r>
          </w:p>
        </w:tc>
        <w:tc>
          <w:tcPr>
            <w:tcW w:w="6658" w:type="dxa"/>
          </w:tcPr>
          <w:p w:rsidR="00036C54" w:rsidRPr="00575180" w:rsidRDefault="00036C54" w:rsidP="00984A02">
            <w:pPr>
              <w:rPr>
                <w:sz w:val="20"/>
                <w:szCs w:val="20"/>
              </w:rPr>
            </w:pPr>
            <w:r w:rsidRPr="00036C54">
              <w:rPr>
                <w:sz w:val="20"/>
                <w:szCs w:val="20"/>
                <w:highlight w:val="green"/>
              </w:rPr>
              <w:t>Teachers set targets which challenge pupils to progress academically and in their communication, social and independence skills so that all pupils are better able to make towards long term outcomes through a series of small-step targets</w:t>
            </w:r>
            <w:r>
              <w:rPr>
                <w:sz w:val="20"/>
                <w:szCs w:val="20"/>
              </w:rPr>
              <w:t xml:space="preserve"> </w:t>
            </w:r>
          </w:p>
        </w:tc>
        <w:tc>
          <w:tcPr>
            <w:tcW w:w="6661" w:type="dxa"/>
          </w:tcPr>
          <w:p w:rsidR="00036C54" w:rsidRPr="006977F0" w:rsidRDefault="00036C54" w:rsidP="00984A02">
            <w:pPr>
              <w:rPr>
                <w:sz w:val="20"/>
                <w:szCs w:val="20"/>
              </w:rPr>
            </w:pPr>
            <w:r w:rsidRPr="006977F0">
              <w:rPr>
                <w:sz w:val="20"/>
                <w:szCs w:val="20"/>
              </w:rPr>
              <w:t>Teachers begin to develop deeper understanding of individual pupil need and plan effectively.</w:t>
            </w:r>
          </w:p>
          <w:p w:rsidR="00036C54" w:rsidRPr="006977F0" w:rsidRDefault="00036C54" w:rsidP="00984A02">
            <w:pPr>
              <w:rPr>
                <w:sz w:val="20"/>
                <w:szCs w:val="20"/>
              </w:rPr>
            </w:pPr>
            <w:r w:rsidRPr="006977F0">
              <w:rPr>
                <w:sz w:val="20"/>
                <w:szCs w:val="20"/>
              </w:rPr>
              <w:t>All pupils make good progress towards academic and long term outcomes</w:t>
            </w:r>
          </w:p>
          <w:p w:rsidR="00036C54" w:rsidRPr="006977F0" w:rsidRDefault="00036C54" w:rsidP="00984A02">
            <w:pPr>
              <w:rPr>
                <w:sz w:val="20"/>
                <w:szCs w:val="20"/>
              </w:rPr>
            </w:pPr>
            <w:r w:rsidRPr="006977F0">
              <w:rPr>
                <w:sz w:val="20"/>
                <w:szCs w:val="20"/>
              </w:rPr>
              <w:t xml:space="preserve">Individually tailored interventions to address individual’s specific barriers </w:t>
            </w:r>
          </w:p>
          <w:p w:rsidR="00036C54" w:rsidRPr="006977F0" w:rsidRDefault="00036C54" w:rsidP="00984A02">
            <w:pPr>
              <w:rPr>
                <w:sz w:val="20"/>
                <w:szCs w:val="20"/>
              </w:rPr>
            </w:pPr>
            <w:r w:rsidRPr="006977F0">
              <w:rPr>
                <w:sz w:val="20"/>
                <w:szCs w:val="20"/>
              </w:rPr>
              <w:t>( as captured in PLP, PPM)</w:t>
            </w:r>
          </w:p>
        </w:tc>
      </w:tr>
      <w:tr w:rsidR="00036C54" w:rsidTr="00984A02">
        <w:trPr>
          <w:trHeight w:val="934"/>
        </w:trPr>
        <w:tc>
          <w:tcPr>
            <w:tcW w:w="1474" w:type="dxa"/>
          </w:tcPr>
          <w:p w:rsidR="00036C54" w:rsidRPr="009F0F8F" w:rsidRDefault="00036C54" w:rsidP="00984A02">
            <w:r w:rsidRPr="009F0F8F">
              <w:t>B.</w:t>
            </w:r>
          </w:p>
        </w:tc>
        <w:tc>
          <w:tcPr>
            <w:tcW w:w="6658" w:type="dxa"/>
          </w:tcPr>
          <w:p w:rsidR="00036C54" w:rsidRPr="00036C54" w:rsidRDefault="00036C54" w:rsidP="00984A02">
            <w:pPr>
              <w:rPr>
                <w:highlight w:val="green"/>
              </w:rPr>
            </w:pPr>
            <w:r w:rsidRPr="00036C54">
              <w:rPr>
                <w:sz w:val="20"/>
                <w:szCs w:val="20"/>
                <w:highlight w:val="green"/>
              </w:rPr>
              <w:t>Good rates of progress overall and more specifically in writing and Number</w:t>
            </w:r>
          </w:p>
          <w:p w:rsidR="00036C54" w:rsidRPr="00575180" w:rsidRDefault="00036C54" w:rsidP="00984A02">
            <w:pPr>
              <w:rPr>
                <w:sz w:val="20"/>
                <w:szCs w:val="20"/>
              </w:rPr>
            </w:pPr>
            <w:r w:rsidRPr="00036C54">
              <w:rPr>
                <w:highlight w:val="green"/>
              </w:rPr>
              <w:t>with a particular focus on PP girls in KS3 and KS4.</w:t>
            </w:r>
          </w:p>
        </w:tc>
        <w:tc>
          <w:tcPr>
            <w:tcW w:w="6661" w:type="dxa"/>
          </w:tcPr>
          <w:p w:rsidR="00036C54" w:rsidRPr="006977F0" w:rsidRDefault="00036C54" w:rsidP="00984A02">
            <w:pPr>
              <w:rPr>
                <w:sz w:val="20"/>
                <w:szCs w:val="20"/>
              </w:rPr>
            </w:pPr>
            <w:r w:rsidRPr="006977F0">
              <w:rPr>
                <w:sz w:val="20"/>
                <w:szCs w:val="20"/>
              </w:rPr>
              <w:t xml:space="preserve">Maintained consistent progress towards positive outcomes. </w:t>
            </w:r>
          </w:p>
          <w:p w:rsidR="00036C54" w:rsidRPr="006977F0" w:rsidRDefault="00036C54" w:rsidP="006977F0">
            <w:pPr>
              <w:rPr>
                <w:sz w:val="20"/>
                <w:szCs w:val="20"/>
              </w:rPr>
            </w:pPr>
            <w:r w:rsidRPr="006977F0">
              <w:rPr>
                <w:sz w:val="20"/>
                <w:szCs w:val="20"/>
              </w:rPr>
              <w:t>Improved progress for PP girls in KS3 and KS4</w:t>
            </w:r>
            <w:r w:rsidR="000B55DF" w:rsidRPr="006977F0">
              <w:rPr>
                <w:sz w:val="20"/>
                <w:szCs w:val="20"/>
              </w:rPr>
              <w:t>. 18-19 analysis</w:t>
            </w:r>
            <w:r w:rsidR="008A10D4">
              <w:rPr>
                <w:sz w:val="20"/>
                <w:szCs w:val="20"/>
              </w:rPr>
              <w:t xml:space="preserve"> indicates that in Reading</w:t>
            </w:r>
            <w:r w:rsidR="006977F0" w:rsidRPr="006977F0">
              <w:rPr>
                <w:sz w:val="20"/>
                <w:szCs w:val="20"/>
              </w:rPr>
              <w:t>,</w:t>
            </w:r>
            <w:r w:rsidR="000B55DF" w:rsidRPr="006977F0">
              <w:rPr>
                <w:sz w:val="20"/>
                <w:szCs w:val="20"/>
              </w:rPr>
              <w:t xml:space="preserve"> Writing</w:t>
            </w:r>
            <w:r w:rsidR="006977F0" w:rsidRPr="006977F0">
              <w:rPr>
                <w:sz w:val="20"/>
                <w:szCs w:val="20"/>
              </w:rPr>
              <w:t xml:space="preserve"> and Using and </w:t>
            </w:r>
            <w:proofErr w:type="gramStart"/>
            <w:r w:rsidR="006977F0" w:rsidRPr="006977F0">
              <w:rPr>
                <w:sz w:val="20"/>
                <w:szCs w:val="20"/>
              </w:rPr>
              <w:t xml:space="preserve">Applying, </w:t>
            </w:r>
            <w:r w:rsidR="000B55DF" w:rsidRPr="006977F0">
              <w:rPr>
                <w:sz w:val="20"/>
                <w:szCs w:val="20"/>
              </w:rPr>
              <w:t xml:space="preserve"> KS</w:t>
            </w:r>
            <w:proofErr w:type="gramEnd"/>
            <w:r w:rsidR="000B55DF" w:rsidRPr="006977F0">
              <w:rPr>
                <w:sz w:val="20"/>
                <w:szCs w:val="20"/>
              </w:rPr>
              <w:t xml:space="preserve">3 girls make similar rates of progress </w:t>
            </w:r>
            <w:r w:rsidR="006977F0" w:rsidRPr="006977F0">
              <w:rPr>
                <w:sz w:val="20"/>
                <w:szCs w:val="20"/>
              </w:rPr>
              <w:t xml:space="preserve">towards targets </w:t>
            </w:r>
            <w:r w:rsidR="000B55DF" w:rsidRPr="006977F0">
              <w:rPr>
                <w:sz w:val="20"/>
                <w:szCs w:val="20"/>
              </w:rPr>
              <w:t xml:space="preserve">as boys </w:t>
            </w:r>
            <w:r w:rsidR="006977F0" w:rsidRPr="006977F0">
              <w:rPr>
                <w:sz w:val="20"/>
                <w:szCs w:val="20"/>
              </w:rPr>
              <w:t>. Data for Reading will not be collected until December 2019.</w:t>
            </w:r>
          </w:p>
          <w:p w:rsidR="006977F0" w:rsidRPr="006977F0" w:rsidRDefault="006977F0" w:rsidP="006977F0">
            <w:pPr>
              <w:rPr>
                <w:sz w:val="20"/>
                <w:szCs w:val="20"/>
              </w:rPr>
            </w:pPr>
            <w:r w:rsidRPr="006977F0">
              <w:rPr>
                <w:sz w:val="20"/>
                <w:szCs w:val="20"/>
              </w:rPr>
              <w:t>KS4 progress is now measured in terms of accreditation success rather than towards PIVAT targets, ( KS103) only.</w:t>
            </w:r>
          </w:p>
        </w:tc>
      </w:tr>
      <w:tr w:rsidR="00036C54" w:rsidTr="00984A02">
        <w:trPr>
          <w:trHeight w:val="1791"/>
        </w:trPr>
        <w:tc>
          <w:tcPr>
            <w:tcW w:w="1474" w:type="dxa"/>
          </w:tcPr>
          <w:p w:rsidR="00036C54" w:rsidRPr="009F0F8F" w:rsidRDefault="00036C54" w:rsidP="00984A02">
            <w:r w:rsidRPr="009F0F8F">
              <w:lastRenderedPageBreak/>
              <w:t>C.</w:t>
            </w:r>
            <w:bookmarkStart w:id="0" w:name="_GoBack"/>
            <w:bookmarkEnd w:id="0"/>
          </w:p>
        </w:tc>
        <w:tc>
          <w:tcPr>
            <w:tcW w:w="6658" w:type="dxa"/>
          </w:tcPr>
          <w:p w:rsidR="00036C54" w:rsidRPr="00575180" w:rsidRDefault="00036C54" w:rsidP="00984A02">
            <w:pPr>
              <w:rPr>
                <w:sz w:val="20"/>
                <w:szCs w:val="20"/>
              </w:rPr>
            </w:pPr>
            <w:r w:rsidRPr="00036C54">
              <w:rPr>
                <w:sz w:val="20"/>
                <w:szCs w:val="20"/>
                <w:highlight w:val="yellow"/>
              </w:rPr>
              <w:t>Improved communication</w:t>
            </w:r>
            <w:r>
              <w:rPr>
                <w:sz w:val="20"/>
                <w:szCs w:val="20"/>
              </w:rPr>
              <w:t xml:space="preserve"> and </w:t>
            </w:r>
            <w:r w:rsidRPr="00036C54">
              <w:rPr>
                <w:sz w:val="20"/>
                <w:szCs w:val="20"/>
                <w:highlight w:val="green"/>
              </w:rPr>
              <w:t>behaviour for learning.</w:t>
            </w:r>
          </w:p>
        </w:tc>
        <w:tc>
          <w:tcPr>
            <w:tcW w:w="6661" w:type="dxa"/>
          </w:tcPr>
          <w:p w:rsidR="00036C54" w:rsidRPr="006977F0" w:rsidRDefault="00036C54" w:rsidP="00984A02">
            <w:pPr>
              <w:rPr>
                <w:sz w:val="20"/>
                <w:szCs w:val="20"/>
              </w:rPr>
            </w:pPr>
            <w:r w:rsidRPr="006977F0">
              <w:rPr>
                <w:sz w:val="20"/>
                <w:szCs w:val="20"/>
              </w:rPr>
              <w:t xml:space="preserve"> All staff are skilled to respond to each students needs so that emerging issues relating to communication, behaviour, emotional and social skills are quickly addressed to minimise their impact on learning.</w:t>
            </w:r>
          </w:p>
        </w:tc>
      </w:tr>
      <w:tr w:rsidR="00036C54" w:rsidTr="00984A02">
        <w:trPr>
          <w:trHeight w:val="439"/>
        </w:trPr>
        <w:tc>
          <w:tcPr>
            <w:tcW w:w="1474" w:type="dxa"/>
          </w:tcPr>
          <w:p w:rsidR="00036C54" w:rsidRPr="009F0F8F" w:rsidRDefault="00036C54" w:rsidP="00984A02">
            <w:r w:rsidRPr="009F0F8F">
              <w:t>D.</w:t>
            </w:r>
          </w:p>
        </w:tc>
        <w:tc>
          <w:tcPr>
            <w:tcW w:w="6658" w:type="dxa"/>
          </w:tcPr>
          <w:p w:rsidR="00036C54" w:rsidRPr="00575180" w:rsidRDefault="00036C54" w:rsidP="00984A02">
            <w:pPr>
              <w:tabs>
                <w:tab w:val="left" w:pos="2400"/>
              </w:tabs>
              <w:rPr>
                <w:sz w:val="20"/>
                <w:szCs w:val="20"/>
              </w:rPr>
            </w:pPr>
            <w:r w:rsidRPr="005E168B">
              <w:rPr>
                <w:sz w:val="20"/>
                <w:szCs w:val="20"/>
                <w:highlight w:val="yellow"/>
              </w:rPr>
              <w:t>Improved attendance is maintained. Persistent absence is reduced.</w:t>
            </w:r>
          </w:p>
        </w:tc>
        <w:tc>
          <w:tcPr>
            <w:tcW w:w="6661" w:type="dxa"/>
          </w:tcPr>
          <w:p w:rsidR="006977F0" w:rsidRPr="009A76C6" w:rsidRDefault="006977F0" w:rsidP="005E168B">
            <w:pPr>
              <w:rPr>
                <w:sz w:val="20"/>
                <w:szCs w:val="20"/>
              </w:rPr>
            </w:pPr>
            <w:r w:rsidRPr="009A76C6">
              <w:rPr>
                <w:sz w:val="20"/>
                <w:szCs w:val="20"/>
              </w:rPr>
              <w:t>Whole school a</w:t>
            </w:r>
            <w:r w:rsidR="00036C54" w:rsidRPr="009A76C6">
              <w:rPr>
                <w:sz w:val="20"/>
                <w:szCs w:val="20"/>
              </w:rPr>
              <w:t>ttendance</w:t>
            </w:r>
            <w:r w:rsidRPr="009A76C6">
              <w:rPr>
                <w:sz w:val="20"/>
                <w:szCs w:val="20"/>
              </w:rPr>
              <w:t xml:space="preserve"> is slightly above </w:t>
            </w:r>
            <w:r w:rsidR="00036C54" w:rsidRPr="009A76C6">
              <w:rPr>
                <w:sz w:val="20"/>
                <w:szCs w:val="20"/>
              </w:rPr>
              <w:t xml:space="preserve"> national expectations</w:t>
            </w:r>
            <w:r w:rsidRPr="009A76C6">
              <w:rPr>
                <w:sz w:val="20"/>
                <w:szCs w:val="20"/>
              </w:rPr>
              <w:t xml:space="preserve"> at 94% . However</w:t>
            </w:r>
            <w:r w:rsidR="008A10D4">
              <w:rPr>
                <w:sz w:val="20"/>
                <w:szCs w:val="20"/>
              </w:rPr>
              <w:t>,</w:t>
            </w:r>
            <w:r w:rsidRPr="009A76C6">
              <w:rPr>
                <w:sz w:val="20"/>
                <w:szCs w:val="20"/>
              </w:rPr>
              <w:t xml:space="preserve"> for Pupil Premium pupils, overall attendance was only 90.9%</w:t>
            </w:r>
            <w:r w:rsidR="00036C54" w:rsidRPr="009A76C6">
              <w:rPr>
                <w:sz w:val="20"/>
                <w:szCs w:val="20"/>
              </w:rPr>
              <w:t xml:space="preserve">. </w:t>
            </w:r>
          </w:p>
          <w:p w:rsidR="005E168B" w:rsidRPr="009A76C6" w:rsidRDefault="005E168B" w:rsidP="005E168B">
            <w:pPr>
              <w:rPr>
                <w:sz w:val="20"/>
                <w:szCs w:val="20"/>
              </w:rPr>
            </w:pPr>
            <w:r w:rsidRPr="009A76C6">
              <w:rPr>
                <w:sz w:val="20"/>
                <w:szCs w:val="20"/>
              </w:rPr>
              <w:t>Over the last 3 years there is a slightly downward trend for PP pupils as follows:</w:t>
            </w:r>
          </w:p>
          <w:tbl>
            <w:tblPr>
              <w:tblStyle w:val="TableGrid"/>
              <w:tblW w:w="0" w:type="auto"/>
              <w:tblLook w:val="04A0" w:firstRow="1" w:lastRow="0" w:firstColumn="1" w:lastColumn="0" w:noHBand="0" w:noVBand="1"/>
            </w:tblPr>
            <w:tblGrid>
              <w:gridCol w:w="1255"/>
              <w:gridCol w:w="1223"/>
              <w:gridCol w:w="1178"/>
              <w:gridCol w:w="1084"/>
            </w:tblGrid>
            <w:tr w:rsidR="005E168B" w:rsidRPr="009A76C6" w:rsidTr="00B57ECE">
              <w:trPr>
                <w:trHeight w:val="373"/>
              </w:trPr>
              <w:tc>
                <w:tcPr>
                  <w:tcW w:w="1223" w:type="dxa"/>
                  <w:shd w:val="clear" w:color="auto" w:fill="FFFFFF" w:themeFill="background1"/>
                </w:tcPr>
                <w:p w:rsidR="005E168B" w:rsidRPr="009A76C6" w:rsidRDefault="005E168B" w:rsidP="005E168B">
                  <w:pPr>
                    <w:jc w:val="center"/>
                    <w:rPr>
                      <w:rFonts w:cs="Tahoma"/>
                    </w:rPr>
                  </w:pPr>
                  <w:r w:rsidRPr="009A76C6">
                    <w:rPr>
                      <w:rFonts w:cs="Tahoma"/>
                    </w:rPr>
                    <w:t>Attendance</w:t>
                  </w:r>
                </w:p>
              </w:tc>
              <w:tc>
                <w:tcPr>
                  <w:tcW w:w="1223" w:type="dxa"/>
                  <w:shd w:val="clear" w:color="auto" w:fill="FFFFFF" w:themeFill="background1"/>
                </w:tcPr>
                <w:p w:rsidR="005E168B" w:rsidRPr="009A76C6" w:rsidRDefault="005E168B" w:rsidP="005E168B">
                  <w:pPr>
                    <w:jc w:val="center"/>
                    <w:rPr>
                      <w:rFonts w:cs="Tahoma"/>
                    </w:rPr>
                  </w:pPr>
                  <w:r w:rsidRPr="009A76C6">
                    <w:rPr>
                      <w:rFonts w:cs="Tahoma"/>
                    </w:rPr>
                    <w:t>16-17</w:t>
                  </w:r>
                </w:p>
              </w:tc>
              <w:tc>
                <w:tcPr>
                  <w:tcW w:w="1178" w:type="dxa"/>
                  <w:shd w:val="clear" w:color="auto" w:fill="FFFFFF" w:themeFill="background1"/>
                </w:tcPr>
                <w:p w:rsidR="005E168B" w:rsidRPr="009A76C6" w:rsidRDefault="005E168B" w:rsidP="005E168B">
                  <w:pPr>
                    <w:jc w:val="center"/>
                    <w:rPr>
                      <w:rFonts w:cs="Tahoma"/>
                    </w:rPr>
                  </w:pPr>
                  <w:r w:rsidRPr="009A76C6">
                    <w:rPr>
                      <w:rFonts w:cs="Tahoma"/>
                    </w:rPr>
                    <w:t>17-18</w:t>
                  </w:r>
                </w:p>
              </w:tc>
              <w:tc>
                <w:tcPr>
                  <w:tcW w:w="1084" w:type="dxa"/>
                  <w:shd w:val="clear" w:color="auto" w:fill="FFFFFF" w:themeFill="background1"/>
                </w:tcPr>
                <w:p w:rsidR="005E168B" w:rsidRPr="009A76C6" w:rsidRDefault="005E168B" w:rsidP="005E168B">
                  <w:pPr>
                    <w:jc w:val="center"/>
                    <w:rPr>
                      <w:rFonts w:cs="Tahoma"/>
                    </w:rPr>
                  </w:pPr>
                  <w:r w:rsidRPr="009A76C6">
                    <w:rPr>
                      <w:rFonts w:cs="Tahoma"/>
                    </w:rPr>
                    <w:t>18-19</w:t>
                  </w:r>
                </w:p>
              </w:tc>
            </w:tr>
            <w:tr w:rsidR="005E168B" w:rsidRPr="009A76C6" w:rsidTr="00B57ECE">
              <w:trPr>
                <w:trHeight w:val="373"/>
              </w:trPr>
              <w:tc>
                <w:tcPr>
                  <w:tcW w:w="1223" w:type="dxa"/>
                  <w:shd w:val="clear" w:color="auto" w:fill="FFFFFF" w:themeFill="background1"/>
                </w:tcPr>
                <w:p w:rsidR="005E168B" w:rsidRPr="009A76C6" w:rsidRDefault="005E168B" w:rsidP="005E168B">
                  <w:pPr>
                    <w:jc w:val="center"/>
                    <w:rPr>
                      <w:rFonts w:cs="Tahoma"/>
                    </w:rPr>
                  </w:pPr>
                  <w:r w:rsidRPr="009A76C6">
                    <w:rPr>
                      <w:rFonts w:cs="Tahoma"/>
                    </w:rPr>
                    <w:t xml:space="preserve"> PP</w:t>
                  </w:r>
                </w:p>
              </w:tc>
              <w:tc>
                <w:tcPr>
                  <w:tcW w:w="1223" w:type="dxa"/>
                  <w:shd w:val="clear" w:color="auto" w:fill="FFFFFF" w:themeFill="background1"/>
                </w:tcPr>
                <w:p w:rsidR="005E168B" w:rsidRPr="009A76C6" w:rsidRDefault="005E168B" w:rsidP="005E168B">
                  <w:pPr>
                    <w:jc w:val="center"/>
                    <w:rPr>
                      <w:rFonts w:cs="Tahoma"/>
                    </w:rPr>
                  </w:pPr>
                  <w:r w:rsidRPr="009A76C6">
                    <w:rPr>
                      <w:rFonts w:cs="Tahoma"/>
                    </w:rPr>
                    <w:t>91.5%</w:t>
                  </w:r>
                </w:p>
              </w:tc>
              <w:tc>
                <w:tcPr>
                  <w:tcW w:w="1178" w:type="dxa"/>
                  <w:shd w:val="clear" w:color="auto" w:fill="FFFFFF" w:themeFill="background1"/>
                </w:tcPr>
                <w:p w:rsidR="005E168B" w:rsidRPr="009A76C6" w:rsidRDefault="005E168B" w:rsidP="005E168B">
                  <w:pPr>
                    <w:jc w:val="center"/>
                    <w:rPr>
                      <w:rFonts w:cs="Tahoma"/>
                    </w:rPr>
                  </w:pPr>
                  <w:r w:rsidRPr="009A76C6">
                    <w:rPr>
                      <w:rFonts w:cs="Tahoma"/>
                    </w:rPr>
                    <w:t>91.2%</w:t>
                  </w:r>
                </w:p>
              </w:tc>
              <w:tc>
                <w:tcPr>
                  <w:tcW w:w="1084" w:type="dxa"/>
                  <w:shd w:val="clear" w:color="auto" w:fill="FFFFFF" w:themeFill="background1"/>
                </w:tcPr>
                <w:p w:rsidR="005E168B" w:rsidRPr="009A76C6" w:rsidRDefault="005E168B" w:rsidP="005E168B">
                  <w:pPr>
                    <w:jc w:val="center"/>
                    <w:rPr>
                      <w:rFonts w:cs="Tahoma"/>
                    </w:rPr>
                  </w:pPr>
                  <w:r w:rsidRPr="009A76C6">
                    <w:rPr>
                      <w:rFonts w:cs="Tahoma"/>
                    </w:rPr>
                    <w:t>90.9%</w:t>
                  </w:r>
                </w:p>
              </w:tc>
            </w:tr>
            <w:tr w:rsidR="005E168B" w:rsidRPr="009A76C6" w:rsidTr="00B57ECE">
              <w:trPr>
                <w:trHeight w:val="373"/>
              </w:trPr>
              <w:tc>
                <w:tcPr>
                  <w:tcW w:w="1223" w:type="dxa"/>
                  <w:shd w:val="clear" w:color="auto" w:fill="FFFFFF" w:themeFill="background1"/>
                </w:tcPr>
                <w:p w:rsidR="005E168B" w:rsidRPr="009A76C6" w:rsidRDefault="005E168B" w:rsidP="005E168B">
                  <w:pPr>
                    <w:jc w:val="center"/>
                    <w:rPr>
                      <w:rFonts w:cs="Tahoma"/>
                    </w:rPr>
                  </w:pPr>
                  <w:r w:rsidRPr="009A76C6">
                    <w:rPr>
                      <w:rFonts w:cs="Tahoma"/>
                    </w:rPr>
                    <w:t>Non-PP</w:t>
                  </w:r>
                </w:p>
              </w:tc>
              <w:tc>
                <w:tcPr>
                  <w:tcW w:w="1223" w:type="dxa"/>
                  <w:shd w:val="clear" w:color="auto" w:fill="FFFFFF" w:themeFill="background1"/>
                </w:tcPr>
                <w:p w:rsidR="005E168B" w:rsidRPr="009A76C6" w:rsidRDefault="005E168B" w:rsidP="005E168B">
                  <w:pPr>
                    <w:jc w:val="center"/>
                    <w:rPr>
                      <w:rFonts w:cs="Tahoma"/>
                    </w:rPr>
                  </w:pPr>
                  <w:r w:rsidRPr="009A76C6">
                    <w:rPr>
                      <w:rFonts w:cs="Tahoma"/>
                    </w:rPr>
                    <w:t>95.4%</w:t>
                  </w:r>
                </w:p>
              </w:tc>
              <w:tc>
                <w:tcPr>
                  <w:tcW w:w="1178" w:type="dxa"/>
                  <w:shd w:val="clear" w:color="auto" w:fill="FFFFFF" w:themeFill="background1"/>
                </w:tcPr>
                <w:p w:rsidR="005E168B" w:rsidRPr="009A76C6" w:rsidRDefault="005E168B" w:rsidP="005E168B">
                  <w:pPr>
                    <w:jc w:val="center"/>
                    <w:rPr>
                      <w:rFonts w:cs="Tahoma"/>
                    </w:rPr>
                  </w:pPr>
                  <w:r w:rsidRPr="009A76C6">
                    <w:rPr>
                      <w:rFonts w:cs="Tahoma"/>
                    </w:rPr>
                    <w:t>96.1%</w:t>
                  </w:r>
                </w:p>
              </w:tc>
              <w:tc>
                <w:tcPr>
                  <w:tcW w:w="1084" w:type="dxa"/>
                  <w:shd w:val="clear" w:color="auto" w:fill="FFFFFF" w:themeFill="background1"/>
                </w:tcPr>
                <w:p w:rsidR="005E168B" w:rsidRPr="009A76C6" w:rsidRDefault="005E168B" w:rsidP="005E168B">
                  <w:pPr>
                    <w:jc w:val="center"/>
                    <w:rPr>
                      <w:rFonts w:cs="Tahoma"/>
                    </w:rPr>
                  </w:pPr>
                  <w:r w:rsidRPr="009A76C6">
                    <w:rPr>
                      <w:rFonts w:cs="Tahoma"/>
                    </w:rPr>
                    <w:t>95.6%</w:t>
                  </w:r>
                </w:p>
              </w:tc>
            </w:tr>
            <w:tr w:rsidR="00B819CC" w:rsidRPr="009A76C6" w:rsidTr="00B57ECE">
              <w:trPr>
                <w:trHeight w:val="373"/>
              </w:trPr>
              <w:tc>
                <w:tcPr>
                  <w:tcW w:w="1223" w:type="dxa"/>
                  <w:shd w:val="clear" w:color="auto" w:fill="FFFFFF" w:themeFill="background1"/>
                </w:tcPr>
                <w:p w:rsidR="00B819CC" w:rsidRPr="009A76C6" w:rsidRDefault="00B819CC" w:rsidP="005E168B">
                  <w:pPr>
                    <w:jc w:val="center"/>
                    <w:rPr>
                      <w:rFonts w:cs="Tahoma"/>
                    </w:rPr>
                  </w:pPr>
                  <w:r w:rsidRPr="009A76C6">
                    <w:rPr>
                      <w:rFonts w:cs="Tahoma"/>
                    </w:rPr>
                    <w:t>Differential</w:t>
                  </w:r>
                </w:p>
              </w:tc>
              <w:tc>
                <w:tcPr>
                  <w:tcW w:w="1223" w:type="dxa"/>
                  <w:shd w:val="clear" w:color="auto" w:fill="FFFFFF" w:themeFill="background1"/>
                </w:tcPr>
                <w:p w:rsidR="00B819CC" w:rsidRPr="009A76C6" w:rsidRDefault="00B819CC" w:rsidP="005E168B">
                  <w:pPr>
                    <w:jc w:val="center"/>
                    <w:rPr>
                      <w:rFonts w:cs="Tahoma"/>
                    </w:rPr>
                  </w:pPr>
                  <w:r w:rsidRPr="009A76C6">
                    <w:rPr>
                      <w:rFonts w:cs="Tahoma"/>
                    </w:rPr>
                    <w:t>3.9%</w:t>
                  </w:r>
                </w:p>
              </w:tc>
              <w:tc>
                <w:tcPr>
                  <w:tcW w:w="1178" w:type="dxa"/>
                  <w:shd w:val="clear" w:color="auto" w:fill="FFFFFF" w:themeFill="background1"/>
                </w:tcPr>
                <w:p w:rsidR="00B819CC" w:rsidRPr="009A76C6" w:rsidRDefault="00B819CC" w:rsidP="005E168B">
                  <w:pPr>
                    <w:jc w:val="center"/>
                    <w:rPr>
                      <w:rFonts w:cs="Tahoma"/>
                    </w:rPr>
                  </w:pPr>
                  <w:r w:rsidRPr="009A76C6">
                    <w:rPr>
                      <w:rFonts w:cs="Tahoma"/>
                    </w:rPr>
                    <w:t>4.9%</w:t>
                  </w:r>
                </w:p>
              </w:tc>
              <w:tc>
                <w:tcPr>
                  <w:tcW w:w="1084" w:type="dxa"/>
                  <w:shd w:val="clear" w:color="auto" w:fill="FFFFFF" w:themeFill="background1"/>
                </w:tcPr>
                <w:p w:rsidR="00B819CC" w:rsidRPr="009A76C6" w:rsidRDefault="00B819CC" w:rsidP="005E168B">
                  <w:pPr>
                    <w:jc w:val="center"/>
                    <w:rPr>
                      <w:rFonts w:cs="Tahoma"/>
                    </w:rPr>
                  </w:pPr>
                  <w:r w:rsidRPr="009A76C6">
                    <w:rPr>
                      <w:rFonts w:cs="Tahoma"/>
                    </w:rPr>
                    <w:t>4.7%</w:t>
                  </w:r>
                </w:p>
              </w:tc>
            </w:tr>
          </w:tbl>
          <w:p w:rsidR="005E168B" w:rsidRPr="009A76C6" w:rsidRDefault="005E168B" w:rsidP="005E168B">
            <w:pPr>
              <w:rPr>
                <w:sz w:val="20"/>
                <w:szCs w:val="20"/>
              </w:rPr>
            </w:pPr>
            <w:r w:rsidRPr="009A76C6">
              <w:rPr>
                <w:sz w:val="20"/>
                <w:szCs w:val="20"/>
              </w:rPr>
              <w:t>Narrowing this gap remains a priority for the school.</w:t>
            </w:r>
          </w:p>
          <w:p w:rsidR="005E168B" w:rsidRPr="009A76C6" w:rsidRDefault="00B819CC" w:rsidP="005E168B">
            <w:pPr>
              <w:rPr>
                <w:rFonts w:cs="Tahoma"/>
                <w:b/>
              </w:rPr>
            </w:pPr>
            <w:r w:rsidRPr="009A76C6">
              <w:rPr>
                <w:rFonts w:cs="Tahoma"/>
              </w:rPr>
              <w:t>The downward trend in fixed term exclusions continues in terms of the number of exclusions and total number of days lost to exclusion. The reduction in the number of exclusions is attributable in part to more the consistent approach and management of behavioural issues across the school. Whilst there has been a considerable reduction in the number of fixed term exclusions, it is notable that all students who were excluded are pupil premium students. 5 of these students have considerable SEMH needs and  the school will accessing additional SEMH support through the EITS and PP funding for 2019-2020.</w:t>
            </w:r>
          </w:p>
        </w:tc>
      </w:tr>
      <w:tr w:rsidR="00036C54" w:rsidTr="00984A02">
        <w:trPr>
          <w:trHeight w:val="1120"/>
        </w:trPr>
        <w:tc>
          <w:tcPr>
            <w:tcW w:w="1474" w:type="dxa"/>
          </w:tcPr>
          <w:p w:rsidR="00036C54" w:rsidRPr="009F0F8F" w:rsidRDefault="00036C54" w:rsidP="00984A02">
            <w:r w:rsidRPr="009F0F8F">
              <w:t xml:space="preserve">E. </w:t>
            </w:r>
          </w:p>
        </w:tc>
        <w:tc>
          <w:tcPr>
            <w:tcW w:w="6658" w:type="dxa"/>
          </w:tcPr>
          <w:p w:rsidR="00036C54" w:rsidRPr="00575180" w:rsidRDefault="00036C54" w:rsidP="00984A02">
            <w:pPr>
              <w:rPr>
                <w:sz w:val="20"/>
                <w:szCs w:val="20"/>
              </w:rPr>
            </w:pPr>
            <w:r w:rsidRPr="00036C54">
              <w:rPr>
                <w:sz w:val="20"/>
                <w:szCs w:val="20"/>
                <w:highlight w:val="green"/>
              </w:rPr>
              <w:t>Maintain parental attendance at Annual review meetings. Enhance opportunities for parents to engage with the school through coffee mornings and workshops (EITS)</w:t>
            </w:r>
          </w:p>
        </w:tc>
        <w:tc>
          <w:tcPr>
            <w:tcW w:w="6661" w:type="dxa"/>
          </w:tcPr>
          <w:p w:rsidR="00036C54" w:rsidRPr="009A796A" w:rsidRDefault="00036C54" w:rsidP="00984A02">
            <w:pPr>
              <w:rPr>
                <w:sz w:val="20"/>
                <w:szCs w:val="20"/>
              </w:rPr>
            </w:pPr>
            <w:r w:rsidRPr="009A796A">
              <w:rPr>
                <w:sz w:val="20"/>
                <w:szCs w:val="20"/>
              </w:rPr>
              <w:t>Parents are better informed of their child’ progress beyond academic progress</w:t>
            </w:r>
          </w:p>
          <w:p w:rsidR="00036C54" w:rsidRDefault="00036C54" w:rsidP="00984A02">
            <w:pPr>
              <w:rPr>
                <w:sz w:val="20"/>
                <w:szCs w:val="20"/>
              </w:rPr>
            </w:pPr>
            <w:r w:rsidRPr="009A796A">
              <w:rPr>
                <w:sz w:val="20"/>
                <w:szCs w:val="20"/>
              </w:rPr>
              <w:t>Parents are enabled to be more actively involved in supporting their children. Parents have increased confidence in replicating techniques used in school to support learning at home.</w:t>
            </w:r>
          </w:p>
          <w:p w:rsidR="00B819CC" w:rsidRPr="00575180" w:rsidRDefault="00B819CC" w:rsidP="00B819CC">
            <w:pPr>
              <w:rPr>
                <w:sz w:val="20"/>
                <w:szCs w:val="20"/>
              </w:rPr>
            </w:pPr>
            <w:r>
              <w:rPr>
                <w:sz w:val="20"/>
                <w:szCs w:val="20"/>
              </w:rPr>
              <w:t>Further  enhancement of parental engagement remains a priority.</w:t>
            </w:r>
          </w:p>
        </w:tc>
      </w:tr>
    </w:tbl>
    <w:p w:rsidR="00A84FEF" w:rsidRDefault="00A84FEF"/>
    <w:sectPr w:rsidR="00A84FEF" w:rsidSect="00F766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3BB"/>
    <w:multiLevelType w:val="hybridMultilevel"/>
    <w:tmpl w:val="991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55875"/>
    <w:multiLevelType w:val="hybridMultilevel"/>
    <w:tmpl w:val="390601B4"/>
    <w:lvl w:ilvl="0" w:tplc="71E03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5C52"/>
    <w:multiLevelType w:val="hybridMultilevel"/>
    <w:tmpl w:val="A080E7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57BB"/>
    <w:multiLevelType w:val="hybridMultilevel"/>
    <w:tmpl w:val="029C61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62775"/>
    <w:multiLevelType w:val="hybridMultilevel"/>
    <w:tmpl w:val="3FF64E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61B0"/>
    <w:multiLevelType w:val="hybridMultilevel"/>
    <w:tmpl w:val="E3F2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C2947"/>
    <w:multiLevelType w:val="hybridMultilevel"/>
    <w:tmpl w:val="F3547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B0085"/>
    <w:multiLevelType w:val="hybridMultilevel"/>
    <w:tmpl w:val="E3F2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B7C30"/>
    <w:multiLevelType w:val="hybridMultilevel"/>
    <w:tmpl w:val="EB4A25A8"/>
    <w:lvl w:ilvl="0" w:tplc="3B964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43D60"/>
    <w:multiLevelType w:val="hybridMultilevel"/>
    <w:tmpl w:val="62C20B4E"/>
    <w:lvl w:ilvl="0" w:tplc="BB68F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E17C1"/>
    <w:multiLevelType w:val="hybridMultilevel"/>
    <w:tmpl w:val="19B23E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75B0C"/>
    <w:multiLevelType w:val="hybridMultilevel"/>
    <w:tmpl w:val="D70A2F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D3D03"/>
    <w:multiLevelType w:val="hybridMultilevel"/>
    <w:tmpl w:val="D96222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9"/>
  </w:num>
  <w:num w:numId="6">
    <w:abstractNumId w:val="1"/>
  </w:num>
  <w:num w:numId="7">
    <w:abstractNumId w:val="0"/>
  </w:num>
  <w:num w:numId="8">
    <w:abstractNumId w:val="5"/>
  </w:num>
  <w:num w:numId="9">
    <w:abstractNumId w:val="12"/>
  </w:num>
  <w:num w:numId="10">
    <w:abstractNumId w:val="4"/>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B3"/>
    <w:rsid w:val="0001218D"/>
    <w:rsid w:val="00035C94"/>
    <w:rsid w:val="00036C54"/>
    <w:rsid w:val="00066E59"/>
    <w:rsid w:val="000B55DF"/>
    <w:rsid w:val="000C4B20"/>
    <w:rsid w:val="000D1410"/>
    <w:rsid w:val="000F0C5C"/>
    <w:rsid w:val="00106167"/>
    <w:rsid w:val="0016150F"/>
    <w:rsid w:val="00186A3F"/>
    <w:rsid w:val="0020012F"/>
    <w:rsid w:val="00233EFE"/>
    <w:rsid w:val="0026696E"/>
    <w:rsid w:val="00276462"/>
    <w:rsid w:val="00281536"/>
    <w:rsid w:val="00283F4C"/>
    <w:rsid w:val="00291F72"/>
    <w:rsid w:val="002E0B68"/>
    <w:rsid w:val="002E518B"/>
    <w:rsid w:val="00310A10"/>
    <w:rsid w:val="00332CD6"/>
    <w:rsid w:val="003374E9"/>
    <w:rsid w:val="00366D61"/>
    <w:rsid w:val="0039021E"/>
    <w:rsid w:val="003B6454"/>
    <w:rsid w:val="003B7619"/>
    <w:rsid w:val="003E2A4A"/>
    <w:rsid w:val="003E68C2"/>
    <w:rsid w:val="00436128"/>
    <w:rsid w:val="0044344F"/>
    <w:rsid w:val="00445592"/>
    <w:rsid w:val="00464718"/>
    <w:rsid w:val="0048552C"/>
    <w:rsid w:val="004C2C6A"/>
    <w:rsid w:val="004D7BE7"/>
    <w:rsid w:val="00507B62"/>
    <w:rsid w:val="00512798"/>
    <w:rsid w:val="00535EB3"/>
    <w:rsid w:val="00546381"/>
    <w:rsid w:val="005524F5"/>
    <w:rsid w:val="005735EC"/>
    <w:rsid w:val="00575180"/>
    <w:rsid w:val="00576B69"/>
    <w:rsid w:val="00593FF9"/>
    <w:rsid w:val="005A1B63"/>
    <w:rsid w:val="005A2D05"/>
    <w:rsid w:val="005B66D4"/>
    <w:rsid w:val="005C1B70"/>
    <w:rsid w:val="005E168B"/>
    <w:rsid w:val="005F250E"/>
    <w:rsid w:val="00623D2F"/>
    <w:rsid w:val="006311BC"/>
    <w:rsid w:val="006977F0"/>
    <w:rsid w:val="006B7CCB"/>
    <w:rsid w:val="006E6C0D"/>
    <w:rsid w:val="006E7AB2"/>
    <w:rsid w:val="006F1496"/>
    <w:rsid w:val="006F771C"/>
    <w:rsid w:val="00701FD3"/>
    <w:rsid w:val="007431F3"/>
    <w:rsid w:val="007719A8"/>
    <w:rsid w:val="007908B4"/>
    <w:rsid w:val="007923B4"/>
    <w:rsid w:val="007A7787"/>
    <w:rsid w:val="007D62C9"/>
    <w:rsid w:val="007E29C9"/>
    <w:rsid w:val="008216D3"/>
    <w:rsid w:val="00830270"/>
    <w:rsid w:val="0083530D"/>
    <w:rsid w:val="008374C9"/>
    <w:rsid w:val="008467E3"/>
    <w:rsid w:val="0088475C"/>
    <w:rsid w:val="008959E6"/>
    <w:rsid w:val="008A10D4"/>
    <w:rsid w:val="008A22D8"/>
    <w:rsid w:val="008A243C"/>
    <w:rsid w:val="008A24E9"/>
    <w:rsid w:val="008C0DAD"/>
    <w:rsid w:val="008C20C8"/>
    <w:rsid w:val="008E2EB3"/>
    <w:rsid w:val="008F0BDF"/>
    <w:rsid w:val="0093559A"/>
    <w:rsid w:val="00937A50"/>
    <w:rsid w:val="0095697F"/>
    <w:rsid w:val="009733C9"/>
    <w:rsid w:val="00985F6D"/>
    <w:rsid w:val="009A76C6"/>
    <w:rsid w:val="009A796A"/>
    <w:rsid w:val="009B498E"/>
    <w:rsid w:val="009D3361"/>
    <w:rsid w:val="009F0F8F"/>
    <w:rsid w:val="00A0386A"/>
    <w:rsid w:val="00A46631"/>
    <w:rsid w:val="00A751A6"/>
    <w:rsid w:val="00A76816"/>
    <w:rsid w:val="00A84FEF"/>
    <w:rsid w:val="00A90F82"/>
    <w:rsid w:val="00AD04E8"/>
    <w:rsid w:val="00AF2D3D"/>
    <w:rsid w:val="00B05680"/>
    <w:rsid w:val="00B244F3"/>
    <w:rsid w:val="00B3316E"/>
    <w:rsid w:val="00B819CC"/>
    <w:rsid w:val="00BD6F5E"/>
    <w:rsid w:val="00C66AE2"/>
    <w:rsid w:val="00C73CA1"/>
    <w:rsid w:val="00C830B3"/>
    <w:rsid w:val="00CA4B67"/>
    <w:rsid w:val="00CD1FB5"/>
    <w:rsid w:val="00CF67E8"/>
    <w:rsid w:val="00D00D50"/>
    <w:rsid w:val="00D21E17"/>
    <w:rsid w:val="00D567E1"/>
    <w:rsid w:val="00D703FC"/>
    <w:rsid w:val="00D717D8"/>
    <w:rsid w:val="00D9716A"/>
    <w:rsid w:val="00DA0C9D"/>
    <w:rsid w:val="00DA70EB"/>
    <w:rsid w:val="00DA79DA"/>
    <w:rsid w:val="00DE7E03"/>
    <w:rsid w:val="00E05C0D"/>
    <w:rsid w:val="00E17D13"/>
    <w:rsid w:val="00E22648"/>
    <w:rsid w:val="00E47BF3"/>
    <w:rsid w:val="00E63278"/>
    <w:rsid w:val="00E86AAE"/>
    <w:rsid w:val="00E917CE"/>
    <w:rsid w:val="00EA6B63"/>
    <w:rsid w:val="00EE1234"/>
    <w:rsid w:val="00EE2AA3"/>
    <w:rsid w:val="00EE371E"/>
    <w:rsid w:val="00EF750B"/>
    <w:rsid w:val="00F60A64"/>
    <w:rsid w:val="00F63143"/>
    <w:rsid w:val="00F766B3"/>
    <w:rsid w:val="00F80728"/>
    <w:rsid w:val="00FA1C59"/>
    <w:rsid w:val="00FB5272"/>
    <w:rsid w:val="00FC0662"/>
    <w:rsid w:val="00FD2A96"/>
    <w:rsid w:val="00FD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AA8A"/>
  <w15:docId w15:val="{8C12FE93-A08A-4DDF-B55D-5C6E5289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6B3"/>
    <w:pPr>
      <w:ind w:left="720"/>
      <w:contextualSpacing/>
    </w:pPr>
  </w:style>
  <w:style w:type="paragraph" w:styleId="BalloonText">
    <w:name w:val="Balloon Text"/>
    <w:basedOn w:val="Normal"/>
    <w:link w:val="BalloonTextChar"/>
    <w:uiPriority w:val="99"/>
    <w:semiHidden/>
    <w:unhideWhenUsed/>
    <w:rsid w:val="002E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09E4-CD12-47DE-B826-8D1F792D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Hetal Patel</dc:creator>
  <cp:lastModifiedBy>Carmel Lynch</cp:lastModifiedBy>
  <cp:revision>4</cp:revision>
  <cp:lastPrinted>2018-11-20T15:45:00Z</cp:lastPrinted>
  <dcterms:created xsi:type="dcterms:W3CDTF">2021-02-12T12:31:00Z</dcterms:created>
  <dcterms:modified xsi:type="dcterms:W3CDTF">2021-02-12T13:35:00Z</dcterms:modified>
</cp:coreProperties>
</file>